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A62A76" w14:textId="6D5062CD" w:rsidR="00177B88" w:rsidRPr="00E106C5" w:rsidRDefault="00177B88" w:rsidP="1ED4170D">
      <w:pPr>
        <w:tabs>
          <w:tab w:val="center" w:pos="4536"/>
          <w:tab w:val="right" w:pos="9356"/>
          <w:tab w:val="right" w:pos="9639"/>
        </w:tabs>
        <w:spacing w:after="0"/>
        <w:rPr>
          <w:rFonts w:ascii="Arial" w:eastAsia="Arial" w:hAnsi="Arial" w:cs="Arial"/>
          <w:b/>
          <w:bCs/>
          <w:sz w:val="24"/>
          <w:szCs w:val="24"/>
        </w:rPr>
      </w:pPr>
      <w:r w:rsidRPr="1ED4170D">
        <w:rPr>
          <w:rFonts w:ascii="Arial" w:eastAsia="Arial" w:hAnsi="Arial" w:cs="Arial"/>
          <w:b/>
          <w:bCs/>
          <w:sz w:val="28"/>
          <w:szCs w:val="28"/>
        </w:rPr>
        <w:t xml:space="preserve">3GPP TSG RAN WG1 Meeting </w:t>
      </w:r>
      <w:r w:rsidR="00382772" w:rsidRPr="1ED4170D">
        <w:rPr>
          <w:rFonts w:ascii="Arial" w:eastAsia="Arial" w:hAnsi="Arial" w:cs="Arial"/>
          <w:b/>
          <w:bCs/>
          <w:sz w:val="28"/>
          <w:szCs w:val="28"/>
        </w:rPr>
        <w:t>#</w:t>
      </w:r>
      <w:r w:rsidR="004A30C2" w:rsidRPr="1ED4170D">
        <w:rPr>
          <w:rFonts w:ascii="Arial" w:eastAsia="Arial" w:hAnsi="Arial" w:cs="Arial"/>
          <w:b/>
          <w:bCs/>
          <w:sz w:val="28"/>
          <w:szCs w:val="28"/>
        </w:rPr>
        <w:t>9</w:t>
      </w:r>
      <w:r w:rsidR="00A97A53" w:rsidRPr="1ED4170D">
        <w:rPr>
          <w:rFonts w:ascii="Arial" w:eastAsia="Arial" w:hAnsi="Arial" w:cs="Arial"/>
          <w:b/>
          <w:bCs/>
          <w:sz w:val="28"/>
          <w:szCs w:val="28"/>
        </w:rPr>
        <w:t>4</w:t>
      </w:r>
      <w:r w:rsidR="00A97A53">
        <w:rPr>
          <w:rFonts w:ascii="Arial" w:hAnsi="Arial" w:cs="Arial"/>
          <w:b/>
          <w:bCs/>
          <w:sz w:val="24"/>
        </w:rPr>
        <w:tab/>
      </w:r>
      <w:r w:rsidR="00E106C5">
        <w:rPr>
          <w:rFonts w:ascii="Arial" w:hAnsi="Arial" w:cs="Arial"/>
          <w:b/>
          <w:bCs/>
          <w:sz w:val="24"/>
        </w:rPr>
        <w:tab/>
      </w:r>
      <w:r w:rsidR="00F21D14" w:rsidRPr="009174FB">
        <w:rPr>
          <w:rFonts w:ascii="Arial" w:eastAsia="Arial" w:hAnsi="Arial" w:cs="Arial"/>
          <w:b/>
          <w:bCs/>
          <w:sz w:val="24"/>
          <w:szCs w:val="24"/>
        </w:rPr>
        <w:t>R1-18</w:t>
      </w:r>
      <w:r w:rsidR="009174FB" w:rsidRPr="009174FB">
        <w:rPr>
          <w:rFonts w:ascii="Arial" w:eastAsia="Arial" w:hAnsi="Arial" w:cs="Arial"/>
          <w:b/>
          <w:bCs/>
          <w:sz w:val="24"/>
          <w:szCs w:val="24"/>
        </w:rPr>
        <w:t>08578</w:t>
      </w:r>
    </w:p>
    <w:p w14:paraId="56A8114B" w14:textId="1A083AB7" w:rsidR="00CA26CE" w:rsidRDefault="1ED4170D" w:rsidP="1ED4170D">
      <w:pPr>
        <w:pStyle w:val="Header"/>
        <w:rPr>
          <w:rFonts w:ascii="Arial,MS Mincho" w:eastAsia="Arial,MS Mincho" w:hAnsi="Arial,MS Mincho" w:cs="Arial,MS Mincho"/>
          <w:noProof w:val="0"/>
          <w:sz w:val="24"/>
          <w:szCs w:val="24"/>
          <w:lang w:val="en-GB" w:eastAsia="ja-JP"/>
        </w:rPr>
      </w:pPr>
      <w:r w:rsidRPr="1ED4170D">
        <w:rPr>
          <w:sz w:val="28"/>
          <w:szCs w:val="28"/>
        </w:rPr>
        <w:t>Gothenburg, Sweden,</w:t>
      </w:r>
      <w:r w:rsidRPr="1ED4170D">
        <w:rPr>
          <w:rFonts w:eastAsia="Arial" w:cs="Arial"/>
          <w:sz w:val="28"/>
          <w:szCs w:val="28"/>
        </w:rPr>
        <w:t xml:space="preserve"> </w:t>
      </w:r>
      <w:r w:rsidRPr="1ED4170D">
        <w:rPr>
          <w:sz w:val="28"/>
          <w:szCs w:val="28"/>
        </w:rPr>
        <w:t>20</w:t>
      </w:r>
      <w:r w:rsidRPr="1ED4170D">
        <w:rPr>
          <w:sz w:val="28"/>
          <w:szCs w:val="28"/>
          <w:vertAlign w:val="superscript"/>
        </w:rPr>
        <w:t>th</w:t>
      </w:r>
      <w:r w:rsidRPr="1ED4170D">
        <w:rPr>
          <w:sz w:val="28"/>
          <w:szCs w:val="28"/>
        </w:rPr>
        <w:t xml:space="preserve"> – 24</w:t>
      </w:r>
      <w:r w:rsidRPr="1ED4170D">
        <w:rPr>
          <w:sz w:val="28"/>
          <w:szCs w:val="28"/>
          <w:vertAlign w:val="superscript"/>
        </w:rPr>
        <w:t>th</w:t>
      </w:r>
      <w:r w:rsidRPr="1ED4170D">
        <w:rPr>
          <w:sz w:val="28"/>
          <w:szCs w:val="28"/>
        </w:rPr>
        <w:t xml:space="preserve"> August </w:t>
      </w:r>
      <w:r w:rsidRPr="1ED4170D">
        <w:rPr>
          <w:noProof w:val="0"/>
          <w:sz w:val="28"/>
          <w:szCs w:val="28"/>
          <w:lang w:val="en-GB" w:eastAsia="ja-JP"/>
        </w:rPr>
        <w:t>2018</w:t>
      </w:r>
    </w:p>
    <w:p w14:paraId="16D0C5EC" w14:textId="77777777" w:rsidR="005601AC" w:rsidRPr="0016316A" w:rsidRDefault="005601AC" w:rsidP="00CA26CE">
      <w:pPr>
        <w:pStyle w:val="Header"/>
        <w:rPr>
          <w:bCs/>
          <w:noProof w:val="0"/>
          <w:sz w:val="24"/>
          <w:lang w:val="en-GB" w:eastAsia="ja-JP"/>
        </w:rPr>
      </w:pPr>
    </w:p>
    <w:p w14:paraId="08AC4AD5" w14:textId="7CF5AB73" w:rsidR="0034111C" w:rsidRPr="001E5981" w:rsidRDefault="0034111C" w:rsidP="1ED4170D">
      <w:pPr>
        <w:pStyle w:val="CRCoverPage"/>
        <w:rPr>
          <w:rFonts w:eastAsia="Arial" w:cs="Arial"/>
          <w:b/>
          <w:bCs/>
          <w:sz w:val="24"/>
          <w:szCs w:val="24"/>
          <w:lang w:val="en-US" w:eastAsia="ja-JP"/>
        </w:rPr>
      </w:pPr>
      <w:r w:rsidRPr="1ED4170D">
        <w:rPr>
          <w:b/>
          <w:bCs/>
          <w:sz w:val="24"/>
          <w:szCs w:val="24"/>
        </w:rPr>
        <w:t>Agenda item:</w:t>
      </w:r>
      <w:r w:rsidRPr="0016316A">
        <w:rPr>
          <w:rFonts w:cs="Arial"/>
          <w:b/>
          <w:bCs/>
          <w:sz w:val="24"/>
        </w:rPr>
        <w:tab/>
      </w:r>
      <w:r w:rsidRPr="0016316A">
        <w:rPr>
          <w:rFonts w:cs="Arial"/>
          <w:b/>
          <w:bCs/>
          <w:sz w:val="24"/>
        </w:rPr>
        <w:tab/>
      </w:r>
      <w:r w:rsidR="00A97A53" w:rsidRPr="1ED4170D">
        <w:rPr>
          <w:b/>
          <w:bCs/>
          <w:sz w:val="24"/>
          <w:szCs w:val="24"/>
        </w:rPr>
        <w:t>7.2.3.1</w:t>
      </w:r>
    </w:p>
    <w:p w14:paraId="54BF8606" w14:textId="10A731E9" w:rsidR="00E128F2" w:rsidRPr="001E5981" w:rsidRDefault="0034111C" w:rsidP="1ED4170D">
      <w:pPr>
        <w:tabs>
          <w:tab w:val="left" w:pos="1985"/>
        </w:tabs>
        <w:spacing w:after="120"/>
        <w:ind w:left="1985" w:hanging="1985"/>
        <w:rPr>
          <w:rFonts w:ascii="Arial" w:eastAsia="Arial" w:hAnsi="Arial" w:cs="Arial"/>
          <w:b/>
          <w:bCs/>
          <w:sz w:val="24"/>
          <w:szCs w:val="24"/>
          <w:lang w:val="en-US"/>
        </w:rPr>
      </w:pPr>
      <w:r w:rsidRPr="1ED4170D">
        <w:rPr>
          <w:rFonts w:ascii="Arial" w:eastAsia="Arial" w:hAnsi="Arial" w:cs="Arial"/>
          <w:b/>
          <w:bCs/>
          <w:sz w:val="24"/>
          <w:szCs w:val="24"/>
        </w:rPr>
        <w:t>Source:</w:t>
      </w:r>
      <w:r w:rsidRPr="0016316A">
        <w:rPr>
          <w:rFonts w:ascii="Arial" w:hAnsi="Arial" w:cs="Arial"/>
          <w:b/>
          <w:bCs/>
          <w:sz w:val="24"/>
        </w:rPr>
        <w:tab/>
      </w:r>
      <w:r w:rsidR="00013455" w:rsidRPr="1ED4170D">
        <w:rPr>
          <w:rFonts w:ascii="Arial" w:eastAsia="Arial" w:hAnsi="Arial" w:cs="Arial"/>
          <w:b/>
          <w:bCs/>
          <w:sz w:val="24"/>
          <w:szCs w:val="24"/>
        </w:rPr>
        <w:t xml:space="preserve">Nokia, </w:t>
      </w:r>
      <w:r w:rsidR="003A7926" w:rsidRPr="1ED4170D">
        <w:rPr>
          <w:rFonts w:ascii="Arial" w:eastAsia="Arial" w:hAnsi="Arial" w:cs="Arial"/>
          <w:b/>
          <w:bCs/>
          <w:sz w:val="24"/>
          <w:szCs w:val="24"/>
        </w:rPr>
        <w:t>Nokia</w:t>
      </w:r>
      <w:r w:rsidR="00013455" w:rsidRPr="1ED4170D">
        <w:rPr>
          <w:rFonts w:ascii="Arial" w:eastAsia="Arial" w:hAnsi="Arial" w:cs="Arial"/>
          <w:b/>
          <w:bCs/>
          <w:sz w:val="24"/>
          <w:szCs w:val="24"/>
        </w:rPr>
        <w:t xml:space="preserve"> Shanghai Bell</w:t>
      </w:r>
    </w:p>
    <w:p w14:paraId="52857A4E" w14:textId="425972FD" w:rsidR="0034111C" w:rsidRPr="0016316A" w:rsidRDefault="0034111C" w:rsidP="1ED4170D">
      <w:pPr>
        <w:ind w:left="1985" w:hanging="1985"/>
        <w:rPr>
          <w:rFonts w:ascii="Arial" w:eastAsia="Arial" w:hAnsi="Arial" w:cs="Arial"/>
          <w:b/>
          <w:bCs/>
          <w:sz w:val="24"/>
          <w:szCs w:val="24"/>
        </w:rPr>
      </w:pPr>
      <w:r w:rsidRPr="1ED4170D">
        <w:rPr>
          <w:rFonts w:ascii="Arial" w:eastAsia="Arial" w:hAnsi="Arial" w:cs="Arial"/>
          <w:b/>
          <w:bCs/>
          <w:sz w:val="24"/>
          <w:szCs w:val="24"/>
        </w:rPr>
        <w:t>Title:</w:t>
      </w:r>
      <w:r w:rsidRPr="0016316A">
        <w:rPr>
          <w:rFonts w:ascii="Arial" w:hAnsi="Arial" w:cs="Arial"/>
          <w:b/>
          <w:bCs/>
          <w:sz w:val="24"/>
        </w:rPr>
        <w:tab/>
      </w:r>
      <w:r w:rsidR="00921AA2" w:rsidRPr="1ED4170D">
        <w:rPr>
          <w:rFonts w:ascii="Arial" w:eastAsia="Arial" w:hAnsi="Arial" w:cs="Arial"/>
          <w:b/>
          <w:bCs/>
          <w:sz w:val="24"/>
          <w:szCs w:val="24"/>
        </w:rPr>
        <w:t xml:space="preserve">NR </w:t>
      </w:r>
      <w:r w:rsidR="009C6564" w:rsidRPr="1ED4170D">
        <w:rPr>
          <w:rFonts w:ascii="Arial" w:eastAsia="Arial" w:hAnsi="Arial" w:cs="Arial"/>
          <w:b/>
          <w:bCs/>
          <w:sz w:val="24"/>
          <w:szCs w:val="24"/>
        </w:rPr>
        <w:t>support for IAB</w:t>
      </w:r>
    </w:p>
    <w:p w14:paraId="65B1F247" w14:textId="77777777" w:rsidR="0034111C" w:rsidRPr="0016316A" w:rsidRDefault="0034111C" w:rsidP="1ED4170D">
      <w:pPr>
        <w:rPr>
          <w:rFonts w:ascii="Arial" w:eastAsia="Arial" w:hAnsi="Arial" w:cs="Arial"/>
          <w:b/>
          <w:bCs/>
          <w:sz w:val="24"/>
          <w:szCs w:val="24"/>
        </w:rPr>
      </w:pPr>
      <w:r w:rsidRPr="1ED4170D">
        <w:rPr>
          <w:rFonts w:ascii="Arial" w:eastAsia="Arial" w:hAnsi="Arial" w:cs="Arial"/>
          <w:b/>
          <w:bCs/>
          <w:sz w:val="24"/>
          <w:szCs w:val="24"/>
        </w:rPr>
        <w:t>Document for:</w:t>
      </w:r>
      <w:r w:rsidRPr="0016316A">
        <w:rPr>
          <w:rFonts w:ascii="Arial" w:hAnsi="Arial" w:cs="Arial"/>
          <w:b/>
          <w:bCs/>
          <w:sz w:val="24"/>
        </w:rPr>
        <w:tab/>
      </w:r>
      <w:r w:rsidRPr="0016316A">
        <w:rPr>
          <w:rFonts w:ascii="Arial" w:hAnsi="Arial" w:cs="Arial"/>
          <w:b/>
          <w:bCs/>
          <w:sz w:val="24"/>
        </w:rPr>
        <w:tab/>
      </w:r>
      <w:r w:rsidRPr="1ED4170D">
        <w:rPr>
          <w:rFonts w:ascii="Arial" w:eastAsia="Arial" w:hAnsi="Arial" w:cs="Arial"/>
          <w:b/>
          <w:bCs/>
          <w:sz w:val="24"/>
          <w:szCs w:val="24"/>
        </w:rPr>
        <w:t>Discussion and Decision</w:t>
      </w:r>
    </w:p>
    <w:p w14:paraId="76A875DE" w14:textId="77777777" w:rsidR="0034111C" w:rsidRPr="0016316A" w:rsidRDefault="0034111C">
      <w:pPr>
        <w:pStyle w:val="Heading1"/>
      </w:pPr>
      <w:r w:rsidRPr="0016316A">
        <w:t>1</w:t>
      </w:r>
      <w:r w:rsidRPr="0016316A">
        <w:tab/>
      </w:r>
      <w:r w:rsidR="00EE7FA7" w:rsidRPr="0016316A">
        <w:t>Introduction</w:t>
      </w:r>
    </w:p>
    <w:p w14:paraId="3536E2A3" w14:textId="3FE253C5" w:rsidR="00D52656" w:rsidRDefault="004451D3" w:rsidP="008A215D">
      <w:pPr>
        <w:spacing w:after="120"/>
        <w:jc w:val="both"/>
      </w:pPr>
      <w:r>
        <w:t>RAN1</w:t>
      </w:r>
      <w:r w:rsidR="00A97A53">
        <w:t>#93</w:t>
      </w:r>
      <w:r w:rsidR="00D52656">
        <w:t xml:space="preserve"> </w:t>
      </w:r>
      <w:r w:rsidR="00A97A53">
        <w:t xml:space="preserve">made following </w:t>
      </w:r>
      <w:r w:rsidR="00D52656">
        <w:t xml:space="preserve">agreements </w:t>
      </w:r>
      <w:r w:rsidR="00A97A53">
        <w:t>on IAB support</w:t>
      </w:r>
      <w:r w:rsidR="0058010E">
        <w:t xml:space="preserve"> for different functions</w:t>
      </w:r>
      <w:r w:rsidR="00D52656">
        <w:t xml:space="preserve">, </w:t>
      </w:r>
      <w:r w:rsidR="00D52656">
        <w:fldChar w:fldCharType="begin"/>
      </w:r>
      <w:r w:rsidR="00D52656">
        <w:instrText xml:space="preserve"> REF _Ref513450431 \r \h </w:instrText>
      </w:r>
      <w:r w:rsidR="00D52656">
        <w:fldChar w:fldCharType="separate"/>
      </w:r>
      <w:r w:rsidR="00D52656">
        <w:t>[</w:t>
      </w:r>
      <w:r w:rsidR="00723960">
        <w:t>1</w:t>
      </w:r>
      <w:r w:rsidR="00D52656">
        <w:t>]</w:t>
      </w:r>
      <w:r w:rsidR="00D52656">
        <w:fldChar w:fldCharType="end"/>
      </w:r>
      <w:r w:rsidR="00D52656">
        <w:t>:</w:t>
      </w:r>
    </w:p>
    <w:p w14:paraId="4DE0C5C0" w14:textId="0293625C" w:rsidR="0058010E" w:rsidRDefault="1ED4170D" w:rsidP="008A215D">
      <w:pPr>
        <w:spacing w:after="120"/>
        <w:jc w:val="both"/>
      </w:pPr>
      <w:r>
        <w:t>Discovery and measurements:</w:t>
      </w:r>
    </w:p>
    <w:p w14:paraId="632B235B" w14:textId="77777777" w:rsidR="00D52656" w:rsidRPr="00D52656" w:rsidRDefault="1ED4170D" w:rsidP="1ED4170D">
      <w:pPr>
        <w:spacing w:after="0"/>
        <w:ind w:left="1004" w:hanging="720"/>
        <w:rPr>
          <w:i/>
          <w:iCs/>
          <w:lang w:val="en-US" w:eastAsia="zh-CN"/>
        </w:rPr>
      </w:pPr>
      <w:r w:rsidRPr="1ED4170D">
        <w:rPr>
          <w:i/>
          <w:iCs/>
          <w:highlight w:val="green"/>
          <w:lang w:val="en-US" w:eastAsia="zh-CN"/>
        </w:rPr>
        <w:t>Agreement</w:t>
      </w:r>
      <w:r w:rsidRPr="1ED4170D">
        <w:rPr>
          <w:i/>
          <w:iCs/>
          <w:lang w:val="en-US" w:eastAsia="zh-CN"/>
        </w:rPr>
        <w:t>:</w:t>
      </w:r>
    </w:p>
    <w:p w14:paraId="3FD1CBC5" w14:textId="5B1E5A50" w:rsidR="00445030" w:rsidRPr="00445030" w:rsidRDefault="1ED4170D" w:rsidP="1ED4170D">
      <w:pPr>
        <w:pStyle w:val="ListParagraph"/>
        <w:numPr>
          <w:ilvl w:val="0"/>
          <w:numId w:val="43"/>
        </w:numPr>
        <w:spacing w:after="120"/>
        <w:rPr>
          <w:i/>
          <w:iCs/>
          <w:sz w:val="20"/>
          <w:szCs w:val="20"/>
          <w:lang w:val="en-US"/>
        </w:rPr>
      </w:pPr>
      <w:r w:rsidRPr="1ED4170D">
        <w:rPr>
          <w:i/>
          <w:iCs/>
          <w:sz w:val="20"/>
          <w:szCs w:val="20"/>
          <w:lang w:val="en-US"/>
        </w:rPr>
        <w:t>IAB supports SSB and CSI-RS based RRM measurements. The following features can be considered:</w:t>
      </w:r>
    </w:p>
    <w:p w14:paraId="6E831689" w14:textId="367B878E" w:rsidR="00445030" w:rsidRPr="00445030" w:rsidRDefault="1ED4170D" w:rsidP="1ED4170D">
      <w:pPr>
        <w:pStyle w:val="ListParagraph"/>
        <w:numPr>
          <w:ilvl w:val="1"/>
          <w:numId w:val="43"/>
        </w:numPr>
        <w:spacing w:after="120"/>
        <w:rPr>
          <w:i/>
          <w:iCs/>
          <w:sz w:val="20"/>
          <w:szCs w:val="20"/>
          <w:lang w:val="en-US"/>
        </w:rPr>
      </w:pPr>
      <w:r w:rsidRPr="1ED4170D">
        <w:rPr>
          <w:i/>
          <w:iCs/>
          <w:sz w:val="20"/>
          <w:szCs w:val="20"/>
          <w:lang w:val="en-US"/>
        </w:rPr>
        <w:t xml:space="preserve">Mechanisms for coordination of RS transmission and measurement occasions for IAB nodes </w:t>
      </w:r>
    </w:p>
    <w:p w14:paraId="36047B09" w14:textId="3C0C19EB" w:rsidR="00445030" w:rsidRPr="00445030" w:rsidRDefault="1ED4170D" w:rsidP="1ED4170D">
      <w:pPr>
        <w:pStyle w:val="ListParagraph"/>
        <w:numPr>
          <w:ilvl w:val="1"/>
          <w:numId w:val="43"/>
        </w:numPr>
        <w:spacing w:after="120"/>
        <w:rPr>
          <w:i/>
          <w:iCs/>
          <w:sz w:val="20"/>
          <w:szCs w:val="20"/>
          <w:lang w:val="en-US"/>
        </w:rPr>
      </w:pPr>
      <w:r w:rsidRPr="1ED4170D">
        <w:rPr>
          <w:i/>
          <w:iCs/>
          <w:sz w:val="20"/>
          <w:szCs w:val="20"/>
          <w:lang w:val="en-US"/>
        </w:rPr>
        <w:t xml:space="preserve">Enhancements of SMTC and CSI-RS configurations for IAB </w:t>
      </w:r>
    </w:p>
    <w:p w14:paraId="64F0C615" w14:textId="374B2337" w:rsidR="00445030" w:rsidRPr="00445030" w:rsidRDefault="1ED4170D" w:rsidP="1ED4170D">
      <w:pPr>
        <w:pStyle w:val="ListParagraph"/>
        <w:numPr>
          <w:ilvl w:val="0"/>
          <w:numId w:val="43"/>
        </w:numPr>
        <w:spacing w:after="120"/>
        <w:rPr>
          <w:i/>
          <w:iCs/>
          <w:sz w:val="20"/>
          <w:szCs w:val="20"/>
          <w:lang w:val="en-US"/>
        </w:rPr>
      </w:pPr>
      <w:r w:rsidRPr="1ED4170D">
        <w:rPr>
          <w:i/>
          <w:iCs/>
          <w:sz w:val="20"/>
          <w:szCs w:val="20"/>
          <w:lang w:val="en-US"/>
        </w:rPr>
        <w:t>An IAB-node supports mechanisms for detecting/recovering from backhaul link failure based on Rel-15 mechanisms.</w:t>
      </w:r>
    </w:p>
    <w:p w14:paraId="372216C0" w14:textId="7A9256EF" w:rsidR="00D52656" w:rsidRDefault="1ED4170D" w:rsidP="1ED4170D">
      <w:pPr>
        <w:pStyle w:val="ListParagraph"/>
        <w:numPr>
          <w:ilvl w:val="1"/>
          <w:numId w:val="43"/>
        </w:numPr>
        <w:overflowPunct w:val="0"/>
        <w:autoSpaceDE w:val="0"/>
        <w:autoSpaceDN w:val="0"/>
        <w:adjustRightInd w:val="0"/>
        <w:spacing w:after="240"/>
        <w:ind w:left="1434" w:hanging="357"/>
        <w:rPr>
          <w:i/>
          <w:iCs/>
          <w:sz w:val="20"/>
          <w:szCs w:val="20"/>
          <w:lang w:val="en-US"/>
        </w:rPr>
      </w:pPr>
      <w:r w:rsidRPr="1ED4170D">
        <w:rPr>
          <w:i/>
          <w:iCs/>
          <w:sz w:val="20"/>
          <w:szCs w:val="20"/>
          <w:lang w:val="en-US"/>
        </w:rPr>
        <w:t>Study enhancements to RLM RS and associated procedures for IAB</w:t>
      </w:r>
    </w:p>
    <w:p w14:paraId="57D7D25F" w14:textId="77777777" w:rsidR="00EF5F28" w:rsidRPr="00D52656" w:rsidRDefault="1ED4170D" w:rsidP="1ED4170D">
      <w:pPr>
        <w:spacing w:after="0"/>
        <w:ind w:left="1004" w:hanging="720"/>
        <w:rPr>
          <w:i/>
          <w:iCs/>
          <w:lang w:val="en-US" w:eastAsia="zh-CN"/>
        </w:rPr>
      </w:pPr>
      <w:r w:rsidRPr="1ED4170D">
        <w:rPr>
          <w:i/>
          <w:iCs/>
          <w:highlight w:val="green"/>
          <w:lang w:val="en-US" w:eastAsia="zh-CN"/>
        </w:rPr>
        <w:t>Agreements</w:t>
      </w:r>
      <w:r w:rsidRPr="1ED4170D">
        <w:rPr>
          <w:i/>
          <w:iCs/>
          <w:lang w:val="en-US" w:eastAsia="zh-CN"/>
        </w:rPr>
        <w:t>:</w:t>
      </w:r>
    </w:p>
    <w:p w14:paraId="0DAE62E7" w14:textId="77777777" w:rsidR="00EF5F28" w:rsidRPr="00445030" w:rsidRDefault="1ED4170D" w:rsidP="1ED4170D">
      <w:pPr>
        <w:pStyle w:val="ListParagraph"/>
        <w:numPr>
          <w:ilvl w:val="0"/>
          <w:numId w:val="43"/>
        </w:numPr>
        <w:rPr>
          <w:i/>
          <w:iCs/>
          <w:sz w:val="20"/>
          <w:szCs w:val="20"/>
          <w:lang w:val="en-US"/>
        </w:rPr>
      </w:pPr>
      <w:r w:rsidRPr="1ED4170D">
        <w:rPr>
          <w:i/>
          <w:iCs/>
          <w:sz w:val="20"/>
          <w:szCs w:val="20"/>
          <w:lang w:val="en-US"/>
        </w:rPr>
        <w:t xml:space="preserve">To support the half-duplex constraint from the perspective of a given IAB node, IAB supports detection and measurement of candidate backhaul links (after initial access) which utilizes resources that are orthogonal in time from those used by access UEs for cell detection and measurement. </w:t>
      </w:r>
    </w:p>
    <w:p w14:paraId="7614E9F8" w14:textId="77777777" w:rsidR="00EF5F28" w:rsidRPr="00445030" w:rsidRDefault="1ED4170D" w:rsidP="1ED4170D">
      <w:pPr>
        <w:pStyle w:val="ListParagraph"/>
        <w:numPr>
          <w:ilvl w:val="0"/>
          <w:numId w:val="43"/>
        </w:numPr>
        <w:rPr>
          <w:i/>
          <w:iCs/>
          <w:sz w:val="20"/>
          <w:szCs w:val="20"/>
          <w:lang w:val="en-US"/>
        </w:rPr>
      </w:pPr>
      <w:r w:rsidRPr="1ED4170D">
        <w:rPr>
          <w:i/>
          <w:iCs/>
          <w:sz w:val="20"/>
          <w:szCs w:val="20"/>
          <w:lang w:val="en-US"/>
        </w:rPr>
        <w:t>The following solutions can be further considered:</w:t>
      </w:r>
    </w:p>
    <w:p w14:paraId="1B60B5D3" w14:textId="77777777" w:rsidR="00EF5F28" w:rsidRPr="00445030" w:rsidRDefault="1ED4170D" w:rsidP="1ED4170D">
      <w:pPr>
        <w:pStyle w:val="ListParagraph"/>
        <w:numPr>
          <w:ilvl w:val="1"/>
          <w:numId w:val="43"/>
        </w:numPr>
        <w:rPr>
          <w:i/>
          <w:iCs/>
          <w:sz w:val="20"/>
          <w:szCs w:val="20"/>
          <w:lang w:val="en-US"/>
        </w:rPr>
      </w:pPr>
      <w:r w:rsidRPr="1ED4170D">
        <w:rPr>
          <w:i/>
          <w:iCs/>
          <w:sz w:val="20"/>
          <w:szCs w:val="20"/>
          <w:lang w:val="en-US"/>
        </w:rPr>
        <w:t>TDM of SSBs (e.g. depending on hop order, cell ID, etc.)</w:t>
      </w:r>
    </w:p>
    <w:p w14:paraId="682C1453" w14:textId="77777777" w:rsidR="00EF5F28" w:rsidRPr="00445030" w:rsidRDefault="1ED4170D" w:rsidP="1ED4170D">
      <w:pPr>
        <w:pStyle w:val="ListParagraph"/>
        <w:numPr>
          <w:ilvl w:val="1"/>
          <w:numId w:val="43"/>
        </w:numPr>
        <w:rPr>
          <w:i/>
          <w:iCs/>
          <w:sz w:val="20"/>
          <w:szCs w:val="20"/>
          <w:lang w:val="en-US"/>
        </w:rPr>
      </w:pPr>
      <w:r w:rsidRPr="1ED4170D">
        <w:rPr>
          <w:i/>
          <w:iCs/>
          <w:sz w:val="20"/>
          <w:szCs w:val="20"/>
          <w:lang w:val="en-US"/>
        </w:rPr>
        <w:t xml:space="preserve">SSB muting across IAB nodes </w:t>
      </w:r>
    </w:p>
    <w:p w14:paraId="7E14A896" w14:textId="77777777" w:rsidR="00EF5F28" w:rsidRPr="00445030" w:rsidRDefault="1ED4170D" w:rsidP="1ED4170D">
      <w:pPr>
        <w:pStyle w:val="ListParagraph"/>
        <w:numPr>
          <w:ilvl w:val="1"/>
          <w:numId w:val="43"/>
        </w:numPr>
        <w:rPr>
          <w:i/>
          <w:iCs/>
          <w:sz w:val="20"/>
          <w:szCs w:val="20"/>
          <w:lang w:val="en-US"/>
        </w:rPr>
      </w:pPr>
      <w:r w:rsidRPr="1ED4170D">
        <w:rPr>
          <w:i/>
          <w:iCs/>
          <w:sz w:val="20"/>
          <w:szCs w:val="20"/>
          <w:lang w:val="en-US"/>
        </w:rPr>
        <w:t xml:space="preserve">Multiplexing of SSBs for access UEs and IABs within a half-frame or across half-frames </w:t>
      </w:r>
    </w:p>
    <w:p w14:paraId="79948D08" w14:textId="77777777" w:rsidR="00EF5F28" w:rsidRPr="00445030" w:rsidRDefault="1ED4170D" w:rsidP="1ED4170D">
      <w:pPr>
        <w:pStyle w:val="ListParagraph"/>
        <w:numPr>
          <w:ilvl w:val="1"/>
          <w:numId w:val="43"/>
        </w:numPr>
        <w:rPr>
          <w:i/>
          <w:iCs/>
          <w:sz w:val="20"/>
          <w:szCs w:val="20"/>
          <w:lang w:val="en-US"/>
        </w:rPr>
      </w:pPr>
      <w:r w:rsidRPr="1ED4170D">
        <w:rPr>
          <w:i/>
          <w:iCs/>
          <w:sz w:val="20"/>
          <w:szCs w:val="20"/>
          <w:lang w:val="en-US"/>
        </w:rPr>
        <w:t>Additional IAB node discovery signal TDM with SSB (e.g. CSI-RS)</w:t>
      </w:r>
    </w:p>
    <w:p w14:paraId="52F36690" w14:textId="77777777" w:rsidR="00EF5F28" w:rsidRPr="00445030" w:rsidRDefault="1ED4170D" w:rsidP="1ED4170D">
      <w:pPr>
        <w:pStyle w:val="ListParagraph"/>
        <w:numPr>
          <w:ilvl w:val="1"/>
          <w:numId w:val="43"/>
        </w:numPr>
        <w:rPr>
          <w:i/>
          <w:iCs/>
          <w:sz w:val="20"/>
          <w:szCs w:val="20"/>
          <w:lang w:val="en-US"/>
        </w:rPr>
      </w:pPr>
      <w:r w:rsidRPr="1ED4170D">
        <w:rPr>
          <w:i/>
          <w:iCs/>
          <w:sz w:val="20"/>
          <w:szCs w:val="20"/>
          <w:lang w:val="en-US"/>
        </w:rPr>
        <w:t>Use of off-raster SSBs</w:t>
      </w:r>
    </w:p>
    <w:p w14:paraId="5EB2897D" w14:textId="77777777" w:rsidR="00EF5F28" w:rsidRPr="00445030" w:rsidRDefault="1ED4170D" w:rsidP="1ED4170D">
      <w:pPr>
        <w:pStyle w:val="ListParagraph"/>
        <w:numPr>
          <w:ilvl w:val="1"/>
          <w:numId w:val="43"/>
        </w:numPr>
        <w:rPr>
          <w:i/>
          <w:iCs/>
          <w:sz w:val="20"/>
          <w:szCs w:val="20"/>
          <w:lang w:val="en-US"/>
        </w:rPr>
      </w:pPr>
      <w:r w:rsidRPr="1ED4170D">
        <w:rPr>
          <w:i/>
          <w:iCs/>
          <w:sz w:val="20"/>
          <w:szCs w:val="20"/>
          <w:lang w:val="en-US"/>
        </w:rPr>
        <w:t>Different transmission periodicity compared to the periodicity used by access UEs</w:t>
      </w:r>
    </w:p>
    <w:p w14:paraId="5B1DFDDE" w14:textId="7F6E565D" w:rsidR="00EF5F28" w:rsidRPr="00EF5F28" w:rsidRDefault="1ED4170D" w:rsidP="1ED4170D">
      <w:pPr>
        <w:pStyle w:val="ListParagraph"/>
        <w:numPr>
          <w:ilvl w:val="0"/>
          <w:numId w:val="43"/>
        </w:numPr>
        <w:overflowPunct w:val="0"/>
        <w:autoSpaceDE w:val="0"/>
        <w:autoSpaceDN w:val="0"/>
        <w:adjustRightInd w:val="0"/>
        <w:spacing w:after="240"/>
        <w:ind w:left="714" w:hanging="357"/>
        <w:rPr>
          <w:i/>
          <w:iCs/>
          <w:sz w:val="20"/>
          <w:szCs w:val="20"/>
          <w:lang w:val="en-US"/>
        </w:rPr>
      </w:pPr>
      <w:r w:rsidRPr="1ED4170D">
        <w:rPr>
          <w:i/>
          <w:iCs/>
          <w:sz w:val="20"/>
          <w:szCs w:val="20"/>
          <w:lang w:val="en-US"/>
        </w:rPr>
        <w:t>Further study coordination mechanisms for different solutions</w:t>
      </w:r>
    </w:p>
    <w:p w14:paraId="53A1BA3D" w14:textId="71D2B387" w:rsidR="00EF5F28" w:rsidRPr="00EF5F28" w:rsidRDefault="1ED4170D" w:rsidP="1ED4170D">
      <w:pPr>
        <w:spacing w:after="120"/>
        <w:rPr>
          <w:lang w:val="en-US" w:eastAsia="zh-CN"/>
        </w:rPr>
      </w:pPr>
      <w:r w:rsidRPr="1ED4170D">
        <w:rPr>
          <w:lang w:val="en-US" w:eastAsia="zh-CN"/>
        </w:rPr>
        <w:t>Resource allocation and scheduling:</w:t>
      </w:r>
    </w:p>
    <w:p w14:paraId="31CF96EC" w14:textId="6B310BE1" w:rsidR="00D52656" w:rsidRPr="00D52656" w:rsidRDefault="1ED4170D" w:rsidP="1ED4170D">
      <w:pPr>
        <w:spacing w:after="0"/>
        <w:ind w:left="1004" w:hanging="720"/>
        <w:rPr>
          <w:i/>
          <w:iCs/>
          <w:lang w:val="en-US" w:eastAsia="zh-CN"/>
        </w:rPr>
      </w:pPr>
      <w:r w:rsidRPr="1ED4170D">
        <w:rPr>
          <w:i/>
          <w:iCs/>
          <w:highlight w:val="green"/>
          <w:lang w:val="en-US" w:eastAsia="zh-CN"/>
        </w:rPr>
        <w:t>Agreement</w:t>
      </w:r>
      <w:r w:rsidRPr="1ED4170D">
        <w:rPr>
          <w:i/>
          <w:iCs/>
          <w:lang w:val="en-US" w:eastAsia="zh-CN"/>
        </w:rPr>
        <w:t>s:</w:t>
      </w:r>
    </w:p>
    <w:p w14:paraId="38208D6E" w14:textId="0A4D8D81" w:rsidR="00445030" w:rsidRPr="00445030" w:rsidRDefault="1ED4170D" w:rsidP="1ED4170D">
      <w:pPr>
        <w:pStyle w:val="ListParagraph"/>
        <w:numPr>
          <w:ilvl w:val="0"/>
          <w:numId w:val="43"/>
        </w:numPr>
        <w:rPr>
          <w:i/>
          <w:iCs/>
          <w:sz w:val="20"/>
          <w:szCs w:val="20"/>
          <w:lang w:val="en-US"/>
        </w:rPr>
      </w:pPr>
      <w:r w:rsidRPr="1ED4170D">
        <w:rPr>
          <w:i/>
          <w:iCs/>
          <w:sz w:val="20"/>
          <w:szCs w:val="20"/>
          <w:lang w:val="en-US"/>
        </w:rPr>
        <w:t>IAB supports TDM, FDM, and SDM between Access and BH links at an IAB node, subject to a half-duplex constraint. Further study the following solutions for the different multiplexing options:</w:t>
      </w:r>
    </w:p>
    <w:p w14:paraId="53DE81E9" w14:textId="5C3A46A8" w:rsidR="00445030" w:rsidRPr="00445030" w:rsidRDefault="1ED4170D" w:rsidP="1ED4170D">
      <w:pPr>
        <w:pStyle w:val="ListParagraph"/>
        <w:numPr>
          <w:ilvl w:val="1"/>
          <w:numId w:val="43"/>
        </w:numPr>
        <w:rPr>
          <w:i/>
          <w:iCs/>
          <w:sz w:val="20"/>
          <w:szCs w:val="20"/>
          <w:lang w:val="en-US"/>
        </w:rPr>
      </w:pPr>
      <w:r w:rsidRPr="1ED4170D">
        <w:rPr>
          <w:i/>
          <w:iCs/>
          <w:sz w:val="20"/>
          <w:szCs w:val="20"/>
          <w:lang w:val="en-US"/>
        </w:rPr>
        <w:t>Mechanisms for orthogonal partitioning of time slots or frequency resources between access and backhaul links across one or multiple hops</w:t>
      </w:r>
    </w:p>
    <w:p w14:paraId="1A2AB664" w14:textId="42B58F18" w:rsidR="00445030" w:rsidRPr="00445030" w:rsidRDefault="1ED4170D" w:rsidP="1ED4170D">
      <w:pPr>
        <w:pStyle w:val="ListParagraph"/>
        <w:numPr>
          <w:ilvl w:val="1"/>
          <w:numId w:val="43"/>
        </w:numPr>
        <w:rPr>
          <w:i/>
          <w:iCs/>
          <w:sz w:val="20"/>
          <w:szCs w:val="20"/>
          <w:lang w:val="en-US"/>
        </w:rPr>
      </w:pPr>
      <w:r w:rsidRPr="1ED4170D">
        <w:rPr>
          <w:i/>
          <w:iCs/>
          <w:sz w:val="20"/>
          <w:szCs w:val="20"/>
          <w:lang w:val="en-US"/>
        </w:rPr>
        <w:t>Utilization of different DL/UL slot configurations for access and backhaul links</w:t>
      </w:r>
    </w:p>
    <w:p w14:paraId="73A3DFA2" w14:textId="4A3F736B" w:rsidR="00445030" w:rsidRPr="00445030" w:rsidRDefault="1ED4170D" w:rsidP="1ED4170D">
      <w:pPr>
        <w:pStyle w:val="ListParagraph"/>
        <w:numPr>
          <w:ilvl w:val="1"/>
          <w:numId w:val="43"/>
        </w:numPr>
        <w:rPr>
          <w:i/>
          <w:iCs/>
          <w:sz w:val="20"/>
          <w:szCs w:val="20"/>
          <w:lang w:val="en-US"/>
        </w:rPr>
      </w:pPr>
      <w:r w:rsidRPr="1ED4170D">
        <w:rPr>
          <w:i/>
          <w:iCs/>
          <w:sz w:val="20"/>
          <w:szCs w:val="20"/>
          <w:lang w:val="en-US"/>
        </w:rPr>
        <w:t>DL and UL power control enhancements and timing requirements to allow for intra-panel FDM and SDM of backhaul and access links.</w:t>
      </w:r>
    </w:p>
    <w:p w14:paraId="70C74ABA" w14:textId="7F3BB8B1" w:rsidR="00445030" w:rsidRPr="00445030" w:rsidRDefault="1ED4170D" w:rsidP="1ED4170D">
      <w:pPr>
        <w:pStyle w:val="ListParagraph"/>
        <w:numPr>
          <w:ilvl w:val="1"/>
          <w:numId w:val="43"/>
        </w:numPr>
        <w:rPr>
          <w:i/>
          <w:iCs/>
          <w:sz w:val="20"/>
          <w:szCs w:val="20"/>
          <w:lang w:val="en-US"/>
        </w:rPr>
      </w:pPr>
      <w:r w:rsidRPr="1ED4170D">
        <w:rPr>
          <w:i/>
          <w:iCs/>
          <w:sz w:val="20"/>
          <w:szCs w:val="20"/>
          <w:lang w:val="en-US"/>
        </w:rPr>
        <w:t>Interference management including cross-link interference</w:t>
      </w:r>
    </w:p>
    <w:p w14:paraId="22604E3F" w14:textId="312962ED" w:rsidR="00D52656" w:rsidRDefault="1ED4170D" w:rsidP="1ED4170D">
      <w:pPr>
        <w:pStyle w:val="ListParagraph"/>
        <w:numPr>
          <w:ilvl w:val="1"/>
          <w:numId w:val="43"/>
        </w:numPr>
        <w:overflowPunct w:val="0"/>
        <w:autoSpaceDE w:val="0"/>
        <w:autoSpaceDN w:val="0"/>
        <w:adjustRightInd w:val="0"/>
        <w:spacing w:after="240"/>
        <w:ind w:left="1434" w:hanging="357"/>
        <w:rPr>
          <w:i/>
          <w:iCs/>
          <w:sz w:val="20"/>
          <w:szCs w:val="20"/>
          <w:lang w:val="en-US"/>
        </w:rPr>
      </w:pPr>
      <w:r w:rsidRPr="1ED4170D">
        <w:rPr>
          <w:i/>
          <w:iCs/>
          <w:sz w:val="20"/>
          <w:szCs w:val="20"/>
          <w:lang w:val="en-US"/>
        </w:rPr>
        <w:t>Note: the level of required enhancement or optimization for the different options is FFS</w:t>
      </w:r>
    </w:p>
    <w:p w14:paraId="728CBAFC" w14:textId="77777777" w:rsidR="00EF5F28" w:rsidRPr="00D52656" w:rsidRDefault="1ED4170D" w:rsidP="1ED4170D">
      <w:pPr>
        <w:spacing w:after="0"/>
        <w:ind w:left="1004" w:hanging="720"/>
        <w:rPr>
          <w:i/>
          <w:iCs/>
          <w:lang w:val="en-US" w:eastAsia="zh-CN"/>
        </w:rPr>
      </w:pPr>
      <w:r w:rsidRPr="1ED4170D">
        <w:rPr>
          <w:i/>
          <w:iCs/>
          <w:highlight w:val="green"/>
          <w:lang w:val="en-US" w:eastAsia="zh-CN"/>
        </w:rPr>
        <w:t>Agreements</w:t>
      </w:r>
      <w:r w:rsidRPr="1ED4170D">
        <w:rPr>
          <w:i/>
          <w:iCs/>
          <w:lang w:val="en-US" w:eastAsia="zh-CN"/>
        </w:rPr>
        <w:t>:</w:t>
      </w:r>
    </w:p>
    <w:p w14:paraId="1BEE4A23" w14:textId="77777777" w:rsidR="00EF5F28" w:rsidRPr="00445030" w:rsidRDefault="1ED4170D" w:rsidP="1ED4170D">
      <w:pPr>
        <w:pStyle w:val="ListParagraph"/>
        <w:numPr>
          <w:ilvl w:val="0"/>
          <w:numId w:val="43"/>
        </w:numPr>
        <w:spacing w:after="120"/>
        <w:rPr>
          <w:i/>
          <w:iCs/>
          <w:sz w:val="20"/>
          <w:szCs w:val="20"/>
          <w:lang w:val="en-US"/>
        </w:rPr>
      </w:pPr>
      <w:r w:rsidRPr="1ED4170D">
        <w:rPr>
          <w:i/>
          <w:iCs/>
          <w:sz w:val="20"/>
          <w:szCs w:val="20"/>
          <w:lang w:val="en-US"/>
        </w:rPr>
        <w:t>Downlink IAB transmissions (transmissions from an IAB node to child IAB nodes and UEs directly under the IAB node) should be scheduled by the IAB node itself.</w:t>
      </w:r>
    </w:p>
    <w:p w14:paraId="1F9EEC78" w14:textId="77777777" w:rsidR="00EF5F28" w:rsidRPr="00445030" w:rsidRDefault="1ED4170D" w:rsidP="1ED4170D">
      <w:pPr>
        <w:pStyle w:val="ListParagraph"/>
        <w:numPr>
          <w:ilvl w:val="0"/>
          <w:numId w:val="43"/>
        </w:numPr>
        <w:spacing w:after="120"/>
        <w:rPr>
          <w:i/>
          <w:iCs/>
          <w:sz w:val="20"/>
          <w:szCs w:val="20"/>
          <w:lang w:val="en-US"/>
        </w:rPr>
      </w:pPr>
      <w:r w:rsidRPr="1ED4170D">
        <w:rPr>
          <w:i/>
          <w:iCs/>
          <w:sz w:val="20"/>
          <w:szCs w:val="20"/>
          <w:lang w:val="en-US"/>
        </w:rPr>
        <w:t>Uplink IAB transmission (transmissions from an IAB node to its parent node) should be scheduled by the parent node.</w:t>
      </w:r>
    </w:p>
    <w:p w14:paraId="2EE28393" w14:textId="77777777" w:rsidR="00EF5F28" w:rsidRPr="00445030" w:rsidRDefault="1ED4170D" w:rsidP="1ED4170D">
      <w:pPr>
        <w:pStyle w:val="ListParagraph"/>
        <w:numPr>
          <w:ilvl w:val="0"/>
          <w:numId w:val="43"/>
        </w:numPr>
        <w:spacing w:after="120"/>
        <w:rPr>
          <w:i/>
          <w:iCs/>
          <w:sz w:val="20"/>
          <w:szCs w:val="20"/>
          <w:lang w:val="en-US"/>
        </w:rPr>
      </w:pPr>
      <w:r w:rsidRPr="1ED4170D">
        <w:rPr>
          <w:i/>
          <w:iCs/>
          <w:sz w:val="20"/>
          <w:szCs w:val="20"/>
          <w:lang w:val="en-US"/>
        </w:rPr>
        <w:t xml:space="preserve">Semi-static (on the timescale of RRC signalling) should be supported for resource (frequency, time in terms of slot/slot format, etc.) coordination between IAB nodes. </w:t>
      </w:r>
    </w:p>
    <w:p w14:paraId="42DE58EC" w14:textId="77777777" w:rsidR="00EF5F28" w:rsidRPr="00445030" w:rsidRDefault="1ED4170D" w:rsidP="1ED4170D">
      <w:pPr>
        <w:pStyle w:val="ListParagraph"/>
        <w:numPr>
          <w:ilvl w:val="0"/>
          <w:numId w:val="43"/>
        </w:numPr>
        <w:spacing w:after="120"/>
        <w:rPr>
          <w:i/>
          <w:iCs/>
          <w:sz w:val="20"/>
          <w:szCs w:val="20"/>
          <w:lang w:val="en-US"/>
        </w:rPr>
      </w:pPr>
      <w:r w:rsidRPr="1ED4170D">
        <w:rPr>
          <w:i/>
          <w:iCs/>
          <w:sz w:val="20"/>
          <w:szCs w:val="20"/>
          <w:lang w:val="en-US"/>
        </w:rPr>
        <w:t>The following aspects should be further studied:</w:t>
      </w:r>
    </w:p>
    <w:p w14:paraId="67062A40" w14:textId="77777777" w:rsidR="00EF5F28" w:rsidRPr="00445030" w:rsidRDefault="1ED4170D" w:rsidP="1ED4170D">
      <w:pPr>
        <w:pStyle w:val="ListParagraph"/>
        <w:numPr>
          <w:ilvl w:val="1"/>
          <w:numId w:val="43"/>
        </w:numPr>
        <w:spacing w:after="120"/>
        <w:rPr>
          <w:i/>
          <w:iCs/>
          <w:sz w:val="20"/>
          <w:szCs w:val="20"/>
          <w:lang w:val="en-US"/>
        </w:rPr>
      </w:pPr>
      <w:r w:rsidRPr="1ED4170D">
        <w:rPr>
          <w:i/>
          <w:iCs/>
          <w:sz w:val="20"/>
          <w:szCs w:val="20"/>
          <w:lang w:val="en-US"/>
        </w:rPr>
        <w:t>Distributed or centralized coordination mechanisms</w:t>
      </w:r>
    </w:p>
    <w:p w14:paraId="728FD541" w14:textId="77777777" w:rsidR="00EF5F28" w:rsidRPr="00445030" w:rsidRDefault="1ED4170D" w:rsidP="1ED4170D">
      <w:pPr>
        <w:pStyle w:val="ListParagraph"/>
        <w:numPr>
          <w:ilvl w:val="1"/>
          <w:numId w:val="43"/>
        </w:numPr>
        <w:spacing w:after="120"/>
        <w:rPr>
          <w:i/>
          <w:iCs/>
          <w:sz w:val="20"/>
          <w:szCs w:val="20"/>
          <w:lang w:val="en-US"/>
        </w:rPr>
      </w:pPr>
      <w:r w:rsidRPr="1ED4170D">
        <w:rPr>
          <w:i/>
          <w:iCs/>
          <w:sz w:val="20"/>
          <w:szCs w:val="20"/>
          <w:lang w:val="en-US"/>
        </w:rPr>
        <w:t>Resource granularity of the required signalling (e.g. TDD configuration pattern)</w:t>
      </w:r>
    </w:p>
    <w:p w14:paraId="12F5100F" w14:textId="77777777" w:rsidR="00EF5F28" w:rsidRPr="00445030" w:rsidRDefault="1ED4170D" w:rsidP="1ED4170D">
      <w:pPr>
        <w:pStyle w:val="ListParagraph"/>
        <w:numPr>
          <w:ilvl w:val="1"/>
          <w:numId w:val="43"/>
        </w:numPr>
        <w:spacing w:after="120"/>
        <w:rPr>
          <w:i/>
          <w:iCs/>
          <w:sz w:val="20"/>
          <w:szCs w:val="20"/>
          <w:lang w:val="en-US"/>
        </w:rPr>
      </w:pPr>
      <w:r w:rsidRPr="1ED4170D">
        <w:rPr>
          <w:i/>
          <w:iCs/>
          <w:sz w:val="20"/>
          <w:szCs w:val="20"/>
          <w:lang w:val="en-US"/>
        </w:rPr>
        <w:lastRenderedPageBreak/>
        <w:t>Exchange of L1 and/or L3 measurements between IAB nodes</w:t>
      </w:r>
    </w:p>
    <w:p w14:paraId="5E75C339" w14:textId="77777777" w:rsidR="00EF5F28" w:rsidRPr="00445030" w:rsidRDefault="1ED4170D" w:rsidP="1ED4170D">
      <w:pPr>
        <w:pStyle w:val="ListParagraph"/>
        <w:numPr>
          <w:ilvl w:val="1"/>
          <w:numId w:val="43"/>
        </w:numPr>
        <w:spacing w:after="120"/>
        <w:rPr>
          <w:i/>
          <w:iCs/>
          <w:sz w:val="20"/>
          <w:szCs w:val="20"/>
          <w:lang w:val="en-US"/>
        </w:rPr>
      </w:pPr>
      <w:r w:rsidRPr="1ED4170D">
        <w:rPr>
          <w:i/>
          <w:iCs/>
          <w:sz w:val="20"/>
          <w:szCs w:val="20"/>
          <w:lang w:val="en-US"/>
        </w:rPr>
        <w:t>Exchange of topology related information (e.g. hop order) impacting RAN1 study</w:t>
      </w:r>
    </w:p>
    <w:p w14:paraId="66CF4F40" w14:textId="77777777" w:rsidR="00EF5F28" w:rsidRPr="00445030" w:rsidRDefault="1ED4170D" w:rsidP="1ED4170D">
      <w:pPr>
        <w:pStyle w:val="ListParagraph"/>
        <w:numPr>
          <w:ilvl w:val="1"/>
          <w:numId w:val="43"/>
        </w:numPr>
        <w:spacing w:after="240"/>
        <w:ind w:left="1434" w:hanging="357"/>
        <w:rPr>
          <w:i/>
          <w:iCs/>
          <w:sz w:val="20"/>
          <w:szCs w:val="20"/>
          <w:lang w:val="en-US"/>
        </w:rPr>
      </w:pPr>
      <w:r w:rsidRPr="1ED4170D">
        <w:rPr>
          <w:i/>
          <w:iCs/>
          <w:sz w:val="20"/>
          <w:szCs w:val="20"/>
          <w:lang w:val="en-US"/>
        </w:rPr>
        <w:t>Resource (frequency, time in terms of slot/slot format, etc.) coordination which is faster than semi-static coordination</w:t>
      </w:r>
    </w:p>
    <w:p w14:paraId="335D0FA6" w14:textId="02ABC2C2" w:rsidR="00445030" w:rsidRPr="00EF5F28" w:rsidRDefault="1ED4170D" w:rsidP="1ED4170D">
      <w:pPr>
        <w:spacing w:after="120"/>
        <w:rPr>
          <w:lang w:val="en-US"/>
        </w:rPr>
      </w:pPr>
      <w:r w:rsidRPr="1ED4170D">
        <w:rPr>
          <w:lang w:val="en-US"/>
        </w:rPr>
        <w:t>Synchronization and timing:</w:t>
      </w:r>
    </w:p>
    <w:p w14:paraId="63A695A2" w14:textId="77777777" w:rsidR="00D52656" w:rsidRPr="00D52656" w:rsidRDefault="1ED4170D" w:rsidP="1ED4170D">
      <w:pPr>
        <w:spacing w:after="0"/>
        <w:ind w:left="1004" w:hanging="720"/>
        <w:rPr>
          <w:i/>
          <w:iCs/>
          <w:lang w:val="en-US" w:eastAsia="zh-CN"/>
        </w:rPr>
      </w:pPr>
      <w:r w:rsidRPr="1ED4170D">
        <w:rPr>
          <w:i/>
          <w:iCs/>
          <w:highlight w:val="green"/>
          <w:lang w:val="en-US" w:eastAsia="zh-CN"/>
        </w:rPr>
        <w:t>Agreements</w:t>
      </w:r>
      <w:r w:rsidRPr="1ED4170D">
        <w:rPr>
          <w:i/>
          <w:iCs/>
          <w:lang w:val="en-US" w:eastAsia="zh-CN"/>
        </w:rPr>
        <w:t>:</w:t>
      </w:r>
    </w:p>
    <w:p w14:paraId="0FAE028E" w14:textId="0E36819E" w:rsidR="00445030" w:rsidRPr="00445030" w:rsidRDefault="1ED4170D" w:rsidP="1ED4170D">
      <w:pPr>
        <w:pStyle w:val="ListParagraph"/>
        <w:numPr>
          <w:ilvl w:val="0"/>
          <w:numId w:val="43"/>
        </w:numPr>
        <w:spacing w:after="120"/>
        <w:rPr>
          <w:i/>
          <w:iCs/>
          <w:sz w:val="20"/>
          <w:szCs w:val="20"/>
          <w:lang w:val="en-US"/>
        </w:rPr>
      </w:pPr>
      <w:r w:rsidRPr="1ED4170D">
        <w:rPr>
          <w:i/>
          <w:iCs/>
          <w:sz w:val="20"/>
          <w:szCs w:val="20"/>
          <w:lang w:val="en-US"/>
        </w:rPr>
        <w:t>IAB supports TA-based synchronization between IAB nodes, including across multiple backhaul hops</w:t>
      </w:r>
    </w:p>
    <w:p w14:paraId="21A4CB18" w14:textId="5C1735C8" w:rsidR="00445030" w:rsidRPr="00445030" w:rsidRDefault="1ED4170D" w:rsidP="1ED4170D">
      <w:pPr>
        <w:pStyle w:val="ListParagraph"/>
        <w:numPr>
          <w:ilvl w:val="1"/>
          <w:numId w:val="43"/>
        </w:numPr>
        <w:spacing w:after="120"/>
        <w:rPr>
          <w:i/>
          <w:iCs/>
          <w:sz w:val="20"/>
          <w:szCs w:val="20"/>
          <w:lang w:val="en-US"/>
        </w:rPr>
      </w:pPr>
      <w:r w:rsidRPr="1ED4170D">
        <w:rPr>
          <w:i/>
          <w:iCs/>
          <w:sz w:val="20"/>
          <w:szCs w:val="20"/>
          <w:lang w:val="en-US"/>
        </w:rPr>
        <w:t>Enhancements to existing mechanisms can be further studied</w:t>
      </w:r>
    </w:p>
    <w:p w14:paraId="4A101276" w14:textId="01771A05" w:rsidR="00445030" w:rsidRPr="00445030" w:rsidRDefault="1ED4170D" w:rsidP="1ED4170D">
      <w:pPr>
        <w:pStyle w:val="ListParagraph"/>
        <w:numPr>
          <w:ilvl w:val="0"/>
          <w:numId w:val="43"/>
        </w:numPr>
        <w:spacing w:after="120"/>
        <w:rPr>
          <w:i/>
          <w:iCs/>
          <w:sz w:val="20"/>
          <w:szCs w:val="20"/>
          <w:lang w:val="en-US"/>
        </w:rPr>
      </w:pPr>
      <w:r w:rsidRPr="1ED4170D">
        <w:rPr>
          <w:i/>
          <w:iCs/>
          <w:sz w:val="20"/>
          <w:szCs w:val="20"/>
          <w:lang w:val="en-US"/>
        </w:rPr>
        <w:t>The following cases should be further studied:</w:t>
      </w:r>
    </w:p>
    <w:p w14:paraId="65A1224A" w14:textId="512DD58E" w:rsidR="00445030" w:rsidRPr="00445030" w:rsidRDefault="1ED4170D" w:rsidP="1ED4170D">
      <w:pPr>
        <w:pStyle w:val="ListParagraph"/>
        <w:numPr>
          <w:ilvl w:val="1"/>
          <w:numId w:val="43"/>
        </w:numPr>
        <w:spacing w:after="120"/>
        <w:rPr>
          <w:i/>
          <w:iCs/>
          <w:sz w:val="20"/>
          <w:szCs w:val="20"/>
          <w:lang w:val="en-US"/>
        </w:rPr>
      </w:pPr>
      <w:r w:rsidRPr="1ED4170D">
        <w:rPr>
          <w:i/>
          <w:iCs/>
          <w:sz w:val="20"/>
          <w:szCs w:val="20"/>
          <w:lang w:val="en-US"/>
        </w:rPr>
        <w:t>Case 1: DL transmission timing alignment across IAB nodes and donor nodes</w:t>
      </w:r>
    </w:p>
    <w:p w14:paraId="71AD6086" w14:textId="66669B13" w:rsidR="00445030" w:rsidRPr="00445030" w:rsidRDefault="1ED4170D" w:rsidP="1ED4170D">
      <w:pPr>
        <w:pStyle w:val="ListParagraph"/>
        <w:numPr>
          <w:ilvl w:val="1"/>
          <w:numId w:val="43"/>
        </w:numPr>
        <w:spacing w:after="120"/>
        <w:rPr>
          <w:i/>
          <w:iCs/>
          <w:sz w:val="20"/>
          <w:szCs w:val="20"/>
          <w:lang w:val="en-US"/>
        </w:rPr>
      </w:pPr>
      <w:r w:rsidRPr="1ED4170D">
        <w:rPr>
          <w:i/>
          <w:iCs/>
          <w:sz w:val="20"/>
          <w:szCs w:val="20"/>
          <w:lang w:val="en-US"/>
        </w:rPr>
        <w:t>Case 2: DL and UL transmission timing is aligned within an IAB node</w:t>
      </w:r>
    </w:p>
    <w:p w14:paraId="235CE73F" w14:textId="09582230" w:rsidR="00445030" w:rsidRPr="00445030" w:rsidRDefault="1ED4170D" w:rsidP="1ED4170D">
      <w:pPr>
        <w:pStyle w:val="ListParagraph"/>
        <w:numPr>
          <w:ilvl w:val="1"/>
          <w:numId w:val="43"/>
        </w:numPr>
        <w:spacing w:after="120"/>
        <w:rPr>
          <w:i/>
          <w:iCs/>
          <w:sz w:val="20"/>
          <w:szCs w:val="20"/>
          <w:lang w:val="en-US"/>
        </w:rPr>
      </w:pPr>
      <w:r w:rsidRPr="1ED4170D">
        <w:rPr>
          <w:i/>
          <w:iCs/>
          <w:sz w:val="20"/>
          <w:szCs w:val="20"/>
          <w:lang w:val="en-US"/>
        </w:rPr>
        <w:t>Case 3: DL and UL reception timing is aligned within an IAB node</w:t>
      </w:r>
    </w:p>
    <w:p w14:paraId="3E202B63" w14:textId="15244FB3" w:rsidR="00445030" w:rsidRPr="00445030" w:rsidRDefault="1ED4170D" w:rsidP="1ED4170D">
      <w:pPr>
        <w:pStyle w:val="ListParagraph"/>
        <w:numPr>
          <w:ilvl w:val="1"/>
          <w:numId w:val="43"/>
        </w:numPr>
        <w:spacing w:after="120"/>
        <w:rPr>
          <w:i/>
          <w:iCs/>
          <w:sz w:val="20"/>
          <w:szCs w:val="20"/>
          <w:lang w:val="en-US"/>
        </w:rPr>
      </w:pPr>
      <w:r w:rsidRPr="1ED4170D">
        <w:rPr>
          <w:i/>
          <w:iCs/>
          <w:sz w:val="20"/>
          <w:szCs w:val="20"/>
          <w:lang w:val="en-US"/>
        </w:rPr>
        <w:t>Case 4: within an IAB node, when transmitting using case 2 while when receiving using case 3</w:t>
      </w:r>
    </w:p>
    <w:p w14:paraId="732D4416" w14:textId="2D124BB6" w:rsidR="00445030" w:rsidRPr="00445030" w:rsidRDefault="1ED4170D" w:rsidP="1ED4170D">
      <w:pPr>
        <w:pStyle w:val="ListParagraph"/>
        <w:numPr>
          <w:ilvl w:val="1"/>
          <w:numId w:val="43"/>
        </w:numPr>
        <w:spacing w:after="120"/>
        <w:rPr>
          <w:i/>
          <w:iCs/>
          <w:sz w:val="20"/>
          <w:szCs w:val="20"/>
          <w:lang w:val="en-US"/>
        </w:rPr>
      </w:pPr>
      <w:r w:rsidRPr="1ED4170D">
        <w:rPr>
          <w:i/>
          <w:iCs/>
          <w:sz w:val="20"/>
          <w:szCs w:val="20"/>
          <w:lang w:val="en-US"/>
        </w:rPr>
        <w:t>Case 5: Case 1 for access link timing and Case 4 for backhaul link timing within an IAB node in different time slots</w:t>
      </w:r>
    </w:p>
    <w:p w14:paraId="2A99F901" w14:textId="31EF5C1C" w:rsidR="00445030" w:rsidRPr="00445030" w:rsidRDefault="1ED4170D" w:rsidP="1ED4170D">
      <w:pPr>
        <w:pStyle w:val="ListParagraph"/>
        <w:numPr>
          <w:ilvl w:val="0"/>
          <w:numId w:val="43"/>
        </w:numPr>
        <w:spacing w:after="120"/>
        <w:rPr>
          <w:i/>
          <w:iCs/>
          <w:sz w:val="20"/>
          <w:szCs w:val="20"/>
          <w:lang w:val="en-US"/>
        </w:rPr>
      </w:pPr>
      <w:r w:rsidRPr="1ED4170D">
        <w:rPr>
          <w:i/>
          <w:iCs/>
          <w:sz w:val="20"/>
          <w:szCs w:val="20"/>
          <w:lang w:val="en-US"/>
        </w:rPr>
        <w:t>Further study the following levels of alignment between IAB nodes/donor nodes or within an IAB node:</w:t>
      </w:r>
    </w:p>
    <w:p w14:paraId="6FF25C53" w14:textId="46AD7397" w:rsidR="00445030" w:rsidRPr="00445030" w:rsidRDefault="1ED4170D" w:rsidP="1ED4170D">
      <w:pPr>
        <w:pStyle w:val="ListParagraph"/>
        <w:numPr>
          <w:ilvl w:val="1"/>
          <w:numId w:val="43"/>
        </w:numPr>
        <w:spacing w:after="120"/>
        <w:rPr>
          <w:i/>
          <w:iCs/>
          <w:sz w:val="20"/>
          <w:szCs w:val="20"/>
          <w:lang w:val="en-US"/>
        </w:rPr>
      </w:pPr>
      <w:r w:rsidRPr="1ED4170D">
        <w:rPr>
          <w:i/>
          <w:iCs/>
          <w:sz w:val="20"/>
          <w:szCs w:val="20"/>
          <w:lang w:val="en-US"/>
        </w:rPr>
        <w:t>Slot alignment</w:t>
      </w:r>
    </w:p>
    <w:p w14:paraId="3FCCC880" w14:textId="07384465" w:rsidR="00445030" w:rsidRPr="00445030" w:rsidRDefault="1ED4170D" w:rsidP="1ED4170D">
      <w:pPr>
        <w:pStyle w:val="ListParagraph"/>
        <w:numPr>
          <w:ilvl w:val="1"/>
          <w:numId w:val="43"/>
        </w:numPr>
        <w:spacing w:after="120"/>
        <w:rPr>
          <w:i/>
          <w:iCs/>
          <w:sz w:val="20"/>
          <w:szCs w:val="20"/>
          <w:lang w:val="en-US"/>
        </w:rPr>
      </w:pPr>
      <w:r w:rsidRPr="1ED4170D">
        <w:rPr>
          <w:i/>
          <w:iCs/>
          <w:sz w:val="20"/>
          <w:szCs w:val="20"/>
          <w:lang w:val="en-US"/>
        </w:rPr>
        <w:t>Symbol-level alignment</w:t>
      </w:r>
    </w:p>
    <w:p w14:paraId="2E34A327" w14:textId="14A496AF" w:rsidR="00445030" w:rsidRPr="00445030" w:rsidRDefault="1ED4170D" w:rsidP="1ED4170D">
      <w:pPr>
        <w:pStyle w:val="ListParagraph"/>
        <w:numPr>
          <w:ilvl w:val="1"/>
          <w:numId w:val="43"/>
        </w:numPr>
        <w:spacing w:after="120"/>
        <w:rPr>
          <w:i/>
          <w:iCs/>
          <w:sz w:val="20"/>
          <w:szCs w:val="20"/>
          <w:lang w:val="en-US"/>
        </w:rPr>
      </w:pPr>
      <w:r w:rsidRPr="1ED4170D">
        <w:rPr>
          <w:i/>
          <w:iCs/>
          <w:sz w:val="20"/>
          <w:szCs w:val="20"/>
          <w:lang w:val="en-US"/>
        </w:rPr>
        <w:t>No alignment</w:t>
      </w:r>
    </w:p>
    <w:p w14:paraId="27407F95" w14:textId="4310E8FC" w:rsidR="00EF5F28" w:rsidRPr="00EF5F28" w:rsidRDefault="1ED4170D" w:rsidP="1ED4170D">
      <w:pPr>
        <w:pStyle w:val="ListParagraph"/>
        <w:numPr>
          <w:ilvl w:val="0"/>
          <w:numId w:val="43"/>
        </w:numPr>
        <w:overflowPunct w:val="0"/>
        <w:autoSpaceDE w:val="0"/>
        <w:autoSpaceDN w:val="0"/>
        <w:adjustRightInd w:val="0"/>
        <w:spacing w:after="240"/>
        <w:ind w:left="714" w:hanging="357"/>
        <w:rPr>
          <w:i/>
          <w:iCs/>
          <w:sz w:val="20"/>
          <w:szCs w:val="20"/>
          <w:lang w:val="en-US"/>
        </w:rPr>
      </w:pPr>
      <w:r w:rsidRPr="1ED4170D">
        <w:rPr>
          <w:i/>
          <w:iCs/>
          <w:sz w:val="20"/>
          <w:szCs w:val="20"/>
          <w:lang w:val="en-US"/>
        </w:rPr>
        <w:t>Further consider the impact of different cases on TDM/FDM/SDM multiplexing of access and backhaul links, cross-link interference, and impact on access UEs</w:t>
      </w:r>
    </w:p>
    <w:p w14:paraId="08EC9ADC" w14:textId="2E60FBC3" w:rsidR="00EF5F28" w:rsidRPr="00EF5F28" w:rsidRDefault="1ED4170D" w:rsidP="1ED4170D">
      <w:pPr>
        <w:spacing w:after="120"/>
        <w:rPr>
          <w:lang w:val="en-US"/>
        </w:rPr>
      </w:pPr>
      <w:r w:rsidRPr="1ED4170D">
        <w:rPr>
          <w:lang w:val="en-US"/>
        </w:rPr>
        <w:t>Random access:</w:t>
      </w:r>
    </w:p>
    <w:p w14:paraId="6292A97A" w14:textId="0CBF6532" w:rsidR="00445030" w:rsidRPr="00EF5F28" w:rsidRDefault="1ED4170D" w:rsidP="1ED4170D">
      <w:pPr>
        <w:spacing w:after="240"/>
        <w:ind w:left="1004" w:hanging="720"/>
        <w:rPr>
          <w:i/>
          <w:iCs/>
          <w:lang w:val="en-US" w:eastAsia="zh-CN"/>
        </w:rPr>
      </w:pPr>
      <w:r w:rsidRPr="1ED4170D">
        <w:rPr>
          <w:i/>
          <w:iCs/>
          <w:highlight w:val="green"/>
          <w:lang w:val="en-US" w:eastAsia="zh-CN"/>
        </w:rPr>
        <w:t>Agreements</w:t>
      </w:r>
      <w:r w:rsidRPr="1ED4170D">
        <w:rPr>
          <w:i/>
          <w:iCs/>
          <w:lang w:val="en-US" w:eastAsia="zh-CN"/>
        </w:rPr>
        <w:t>: Study mechanisms for multiplexing of RACH transmissions from UEs and RACH transmissions from IAB nodes.</w:t>
      </w:r>
    </w:p>
    <w:p w14:paraId="3566511B" w14:textId="62E21F6F" w:rsidR="00D52656" w:rsidRPr="00D52656" w:rsidRDefault="1ED4170D" w:rsidP="1ED4170D">
      <w:pPr>
        <w:jc w:val="both"/>
        <w:rPr>
          <w:lang w:val="en-US"/>
        </w:rPr>
      </w:pPr>
      <w:r>
        <w:t xml:space="preserve">This document summarizes Nokia views on </w:t>
      </w:r>
      <w:r w:rsidRPr="1ED4170D">
        <w:rPr>
          <w:lang w:val="en-US"/>
        </w:rPr>
        <w:t xml:space="preserve">ways how NR specifications can be used </w:t>
      </w:r>
      <w:r>
        <w:t xml:space="preserve">and what could be potential enhancements needed </w:t>
      </w:r>
      <w:r w:rsidRPr="1ED4170D">
        <w:rPr>
          <w:lang w:val="en-US"/>
        </w:rPr>
        <w:t xml:space="preserve">to support </w:t>
      </w:r>
      <w:r>
        <w:t>IAB. This paper collects the main points and proposals for different options referring to related discussion papers including more detailed analysis and background.</w:t>
      </w:r>
    </w:p>
    <w:p w14:paraId="10FD11CC" w14:textId="0A0E6622" w:rsidR="00062630" w:rsidRDefault="00062630" w:rsidP="00062630">
      <w:pPr>
        <w:pStyle w:val="Heading1"/>
      </w:pPr>
      <w:r>
        <w:rPr>
          <w:color w:val="000000"/>
        </w:rPr>
        <w:t>2</w:t>
      </w:r>
      <w:r w:rsidRPr="00A51522">
        <w:rPr>
          <w:color w:val="000000"/>
        </w:rPr>
        <w:tab/>
      </w:r>
      <w:r w:rsidR="005E7117">
        <w:t>Discussion</w:t>
      </w:r>
    </w:p>
    <w:p w14:paraId="5E684B78" w14:textId="39BDE80F" w:rsidR="0092658D" w:rsidRPr="00581E73" w:rsidRDefault="1ED4170D" w:rsidP="008A215D">
      <w:pPr>
        <w:jc w:val="both"/>
      </w:pPr>
      <w:r>
        <w:t>The sections below include main points and findings for the PHY support and assumption for the IAB operation considering the agreements so far in RAN1. More detailed discussion can be found in the referred TDocs dedicated for each topic.</w:t>
      </w:r>
    </w:p>
    <w:p w14:paraId="3294ACAC" w14:textId="049082E7" w:rsidR="00470F28" w:rsidRDefault="00470F28" w:rsidP="00470F28">
      <w:pPr>
        <w:pStyle w:val="Heading2"/>
        <w:rPr>
          <w:lang w:val="en-US"/>
        </w:rPr>
      </w:pPr>
      <w:r>
        <w:rPr>
          <w:lang w:val="en-US"/>
        </w:rPr>
        <w:t>2.1</w:t>
      </w:r>
      <w:r>
        <w:rPr>
          <w:lang w:val="en-US"/>
        </w:rPr>
        <w:tab/>
        <w:t>Discovery and measurements</w:t>
      </w:r>
    </w:p>
    <w:p w14:paraId="0CB11326" w14:textId="4D8F3FDF" w:rsidR="00470F28" w:rsidRPr="00470F28" w:rsidRDefault="00470F28" w:rsidP="00470F28">
      <w:pPr>
        <w:spacing w:after="0"/>
        <w:jc w:val="both"/>
      </w:pPr>
      <w:r w:rsidRPr="00470F28">
        <w:rPr>
          <w:lang w:eastAsia="ja-JP"/>
        </w:rPr>
        <w:t>In [2], we discuss two approaches for IAB node discovery. In the first approach</w:t>
      </w:r>
      <w:r w:rsidRPr="00470F28">
        <w:rPr>
          <w:rFonts w:eastAsia="MS Mincho"/>
          <w:lang w:eastAsia="ja-JP"/>
        </w:rPr>
        <w:t>,</w:t>
      </w:r>
      <w:r w:rsidRPr="00470F28">
        <w:rPr>
          <w:lang w:eastAsia="ja-JP"/>
        </w:rPr>
        <w:t xml:space="preserve"> IAB nodes are not transmitting IAB specific SSBs but initial cell/node selection and access by a newly deployed IAB node is based on SSBs that other nodes are transmitting for UEs. Thus, in this stage the newly deployed IAB node would act like a UE, which is possible as the node is not yet serving a cell. </w:t>
      </w:r>
      <w:r w:rsidRPr="00470F28">
        <w:t xml:space="preserve">After the initial cell/node selection and access, discovery could be handled by network co-ordinated CSI-RS transmissions, as the nodes are known to the network and they are already synchronized. Therefore, after the initial access, SSs do not seem to provide any benefit compared with using CSI-RS: a node may be ordered to transmit CSI-RS whose sequence and resource is known to nearby nodes that are ordered for search. This approach of IAB discovery avoids questions of how to handle SSB transmissions for access UEs and for IAB in a single node and how to configure SSB transmissions for mutual discovery of IAB nodes. </w:t>
      </w:r>
    </w:p>
    <w:p w14:paraId="00384DAC" w14:textId="77777777" w:rsidR="00470F28" w:rsidRDefault="00470F28" w:rsidP="00470F28">
      <w:pPr>
        <w:spacing w:after="0"/>
      </w:pPr>
    </w:p>
    <w:p w14:paraId="0F3AD323" w14:textId="25944F49" w:rsidR="00470F28" w:rsidRPr="00470F28" w:rsidRDefault="00470F28" w:rsidP="004B3C94">
      <w:pPr>
        <w:jc w:val="both"/>
        <w:rPr>
          <w:b/>
          <w:bCs/>
          <w:i/>
          <w:iCs/>
        </w:rPr>
      </w:pPr>
      <w:r w:rsidRPr="00470F28">
        <w:rPr>
          <w:b/>
          <w:bCs/>
          <w:i/>
          <w:iCs/>
        </w:rPr>
        <w:t xml:space="preserve">Observation 1: IAB node discovery can be handled by (access UE) SSB search in the initial access, followed by CSI-RS detection in later phases. </w:t>
      </w:r>
    </w:p>
    <w:p w14:paraId="5EC2A900" w14:textId="679D70D7" w:rsidR="00470F28" w:rsidRPr="00470F28" w:rsidRDefault="00470F28" w:rsidP="004B3C94">
      <w:pPr>
        <w:jc w:val="both"/>
        <w:rPr>
          <w:b/>
          <w:bCs/>
          <w:i/>
          <w:iCs/>
        </w:rPr>
      </w:pPr>
      <w:r w:rsidRPr="00470F28">
        <w:rPr>
          <w:b/>
          <w:bCs/>
          <w:i/>
          <w:iCs/>
        </w:rPr>
        <w:t>Proposal 1: RAN1 is asked to consider the need for IAB specific SSB transmissions and if the CSI-RS (or SRS) based detection and monitoring of the IAB nodes is sufficient between nodes that have done cell selection and network access.</w:t>
      </w:r>
    </w:p>
    <w:p w14:paraId="6CDA432F" w14:textId="1800A744" w:rsidR="00470F28" w:rsidRPr="00470F28" w:rsidRDefault="00470F28" w:rsidP="00470F28">
      <w:pPr>
        <w:spacing w:after="0"/>
        <w:jc w:val="both"/>
      </w:pPr>
      <w:r w:rsidRPr="00470F28">
        <w:t>In the other approach for IAB node discovery, IAB specific SSBs are transmitted besides access UE SSBs. For minimal co-ordination of SSB transmissions between the nodes, it could be specified, like with access UE SSBs, that IAB SSBs are transmitted and received in certain slots within windows know</w:t>
      </w:r>
      <w:r w:rsidR="004B3C94">
        <w:t>n</w:t>
      </w:r>
      <w:r w:rsidRPr="00470F28">
        <w:t xml:space="preserve"> to all nodes. A node could decide randomly or </w:t>
      </w:r>
      <w:r w:rsidRPr="00470F28">
        <w:lastRenderedPageBreak/>
        <w:t xml:space="preserve">following a pseudorandom sequence the windows where it transmits its SSB sets. An upstream (i.e. parent) node should know its downstream node’s IAB TX-RX pattern in order to schedule the link direction optimally avoiding unnecessary guard times for link direction changes. </w:t>
      </w:r>
    </w:p>
    <w:p w14:paraId="0C504848" w14:textId="77777777" w:rsidR="00470F28" w:rsidRPr="00470F28" w:rsidRDefault="00470F28" w:rsidP="00470F28">
      <w:pPr>
        <w:spacing w:after="0"/>
      </w:pPr>
    </w:p>
    <w:p w14:paraId="7EF19C56" w14:textId="16DC50CA" w:rsidR="00470F28" w:rsidRPr="00470F28" w:rsidRDefault="00470F28" w:rsidP="00470F28">
      <w:pPr>
        <w:spacing w:after="0"/>
        <w:jc w:val="both"/>
      </w:pPr>
      <w:r w:rsidRPr="00470F28">
        <w:t xml:space="preserve">An alternative for (pseudo)random patterns would be TX-RX patterns that allow mutual discovery opportunities within a group of nodes in a fixed number of TX-RX phases. When the length of a TX-RX pattern is </w:t>
      </w:r>
      <w:r w:rsidRPr="00470F28">
        <w:rPr>
          <w:i/>
          <w:iCs/>
        </w:rPr>
        <w:t>N</w:t>
      </w:r>
      <w:r w:rsidRPr="00470F28">
        <w:t xml:space="preserve"> and the number of TX phases in a pattern is </w:t>
      </w:r>
      <w:r w:rsidRPr="00470F28">
        <w:rPr>
          <w:i/>
          <w:iCs/>
        </w:rPr>
        <w:t>M</w:t>
      </w:r>
      <w:r w:rsidRPr="00470F28">
        <w:t xml:space="preserve">, the number of patterns for mutual discovery is </w:t>
      </w:r>
      <m:oMath>
        <m:d>
          <m:dPr>
            <m:ctrlPr>
              <w:rPr>
                <w:rFonts w:ascii="Cambria Math" w:hAnsi="Cambria Math"/>
                <w:i/>
              </w:rPr>
            </m:ctrlPr>
          </m:dPr>
          <m:e>
            <m:f>
              <m:fPr>
                <m:type m:val="noBar"/>
                <m:ctrlPr>
                  <w:rPr>
                    <w:rFonts w:ascii="Cambria Math" w:hAnsi="Cambria Math"/>
                    <w:i/>
                  </w:rPr>
                </m:ctrlPr>
              </m:fPr>
              <m:num>
                <m:r>
                  <w:rPr>
                    <w:rFonts w:ascii="Cambria Math" w:hAnsi="Cambria Math"/>
                  </w:rPr>
                  <m:t>N</m:t>
                </m:r>
              </m:num>
              <m:den>
                <m:r>
                  <w:rPr>
                    <w:rFonts w:ascii="Cambria Math" w:hAnsi="Cambria Math"/>
                  </w:rPr>
                  <m:t>M</m:t>
                </m:r>
              </m:den>
            </m:f>
          </m:e>
        </m:d>
        <m:r>
          <w:rPr>
            <w:rFonts w:ascii="Cambria Math" w:hAnsi="Cambria Math"/>
          </w:rPr>
          <m:t>.</m:t>
        </m:r>
      </m:oMath>
      <w:r w:rsidRPr="00470F28">
        <w:t xml:space="preserve"> A TX phase would correspond to a time window where an IAB node transmits a full set of SSBs corresponding to different beams. </w:t>
      </w:r>
    </w:p>
    <w:p w14:paraId="16079990" w14:textId="77777777" w:rsidR="00470F28" w:rsidRDefault="00470F28" w:rsidP="00470F28">
      <w:pPr>
        <w:spacing w:after="0"/>
      </w:pPr>
    </w:p>
    <w:p w14:paraId="3C9AE8C7" w14:textId="61F55D95" w:rsidR="00470F28" w:rsidRPr="00470F28" w:rsidRDefault="00470F28" w:rsidP="00470F28">
      <w:pPr>
        <w:jc w:val="both"/>
        <w:rPr>
          <w:b/>
          <w:bCs/>
          <w:i/>
          <w:iCs/>
        </w:rPr>
      </w:pPr>
      <w:r w:rsidRPr="00470F28">
        <w:rPr>
          <w:b/>
          <w:bCs/>
          <w:i/>
          <w:iCs/>
        </w:rPr>
        <w:t xml:space="preserve">Observation 2: </w:t>
      </w:r>
      <m:oMath>
        <m:d>
          <m:dPr>
            <m:ctrlPr>
              <w:rPr>
                <w:rFonts w:ascii="Cambria Math" w:hAnsi="Cambria Math"/>
                <w:b/>
                <w:i/>
              </w:rPr>
            </m:ctrlPr>
          </m:dPr>
          <m:e>
            <m:f>
              <m:fPr>
                <m:type m:val="noBar"/>
                <m:ctrlPr>
                  <w:rPr>
                    <w:rFonts w:ascii="Cambria Math" w:hAnsi="Cambria Math"/>
                    <w:b/>
                    <w:i/>
                  </w:rPr>
                </m:ctrlPr>
              </m:fPr>
              <m:num>
                <m:r>
                  <m:rPr>
                    <m:sty m:val="bi"/>
                  </m:rPr>
                  <w:rPr>
                    <w:rFonts w:ascii="Cambria Math" w:hAnsi="Cambria Math"/>
                  </w:rPr>
                  <m:t>N</m:t>
                </m:r>
              </m:num>
              <m:den>
                <m:r>
                  <m:rPr>
                    <m:sty m:val="bi"/>
                  </m:rPr>
                  <w:rPr>
                    <w:rFonts w:ascii="Cambria Math" w:hAnsi="Cambria Math"/>
                  </w:rPr>
                  <m:t>M</m:t>
                </m:r>
              </m:den>
            </m:f>
          </m:e>
        </m:d>
      </m:oMath>
      <w:r w:rsidRPr="00470F28">
        <w:rPr>
          <w:b/>
          <w:bCs/>
          <w:i/>
          <w:iCs/>
        </w:rPr>
        <w:t xml:space="preserve">-patterns for IAB SSB TX-RX would provide discovery opportunities for a group of IAB nodes within a fixed number of SSB set TX/RX windows but co-ordination for pattern reuse would be needed.    </w:t>
      </w:r>
    </w:p>
    <w:p w14:paraId="1DE0EE5D" w14:textId="77777777" w:rsidR="00470F28" w:rsidRPr="00470F28" w:rsidRDefault="00470F28" w:rsidP="00470F28">
      <w:pPr>
        <w:spacing w:after="0"/>
        <w:jc w:val="both"/>
      </w:pPr>
      <w:r w:rsidRPr="00470F28">
        <w:t xml:space="preserve">If IAB specific SSBs are defined, a question is how to avoid UEs confusing IAB SSBs with normal SSBs. We think there is no problem:   </w:t>
      </w:r>
    </w:p>
    <w:p w14:paraId="592537FB" w14:textId="77777777" w:rsidR="00470F28" w:rsidRPr="00470F28" w:rsidRDefault="00470F28" w:rsidP="00470F28">
      <w:pPr>
        <w:spacing w:after="0"/>
        <w:jc w:val="both"/>
      </w:pPr>
    </w:p>
    <w:p w14:paraId="03E17BFE" w14:textId="27545BF3" w:rsidR="00470F28" w:rsidRPr="00470F28" w:rsidRDefault="00470F28" w:rsidP="00470F28">
      <w:pPr>
        <w:jc w:val="both"/>
        <w:rPr>
          <w:b/>
          <w:bCs/>
        </w:rPr>
      </w:pPr>
      <w:r w:rsidRPr="00470F28">
        <w:rPr>
          <w:b/>
          <w:bCs/>
          <w:i/>
          <w:iCs/>
        </w:rPr>
        <w:t>Observation 3: From access UEs’ point of view, IAB SSBs could be handled the same way as access UE SSBs that are not connected to SIB1</w:t>
      </w:r>
      <w:r w:rsidRPr="00470F28">
        <w:rPr>
          <w:b/>
          <w:bCs/>
        </w:rPr>
        <w:t xml:space="preserve">.        </w:t>
      </w:r>
    </w:p>
    <w:p w14:paraId="7C5E70A6" w14:textId="77777777" w:rsidR="00470F28" w:rsidRPr="00470F28" w:rsidRDefault="00470F28" w:rsidP="00470F28">
      <w:pPr>
        <w:jc w:val="both"/>
      </w:pPr>
      <w:r w:rsidRPr="00470F28">
        <w:t xml:space="preserve">For CSI-RS based radio link monitoring between IAB Nodes and between an IAB Node and a Donor, two link types should be distinguished: active links carrying control and/or data and candidate links to which the BH connection may be handed over in case of a failure on the active link(s). For the active link(s), monitoring can be based on CSI-RSs transmitted by Donor or upstream IAB Node and SRS transmissions by the downstream IAB node, just like between an access UE and a gNB. For monitoring over candidate links, CSI-RS transmissions and reception can take place the way it is specified for mobility measurements. The only enhancement to consider is to increase the maximum periodicity from the 40ms in use for UEs. Because of the flexible resource configuration of CSI-RS, half-duplex constraint is not problematic. </w:t>
      </w:r>
    </w:p>
    <w:p w14:paraId="4E14850B" w14:textId="71AA49B3" w:rsidR="00470F28" w:rsidRPr="00470F28" w:rsidRDefault="00470F28" w:rsidP="00470F28">
      <w:pPr>
        <w:jc w:val="both"/>
        <w:rPr>
          <w:b/>
          <w:bCs/>
          <w:i/>
          <w:iCs/>
        </w:rPr>
      </w:pPr>
      <w:r w:rsidRPr="00470F28">
        <w:rPr>
          <w:b/>
          <w:bCs/>
          <w:i/>
          <w:iCs/>
        </w:rPr>
        <w:t xml:space="preserve">Observation </w:t>
      </w:r>
      <w:r>
        <w:rPr>
          <w:b/>
          <w:bCs/>
          <w:i/>
          <w:iCs/>
        </w:rPr>
        <w:t>4</w:t>
      </w:r>
      <w:r w:rsidRPr="00470F28">
        <w:rPr>
          <w:b/>
          <w:bCs/>
          <w:i/>
          <w:iCs/>
        </w:rPr>
        <w:t xml:space="preserve">: CSI-RS based IAB link monitoring of candidate links can be done like UE measurements for mobility except that the maximum periodicity could be larger for IAB. </w:t>
      </w:r>
    </w:p>
    <w:p w14:paraId="5F8194B5" w14:textId="64B358F5" w:rsidR="00EC4DEE" w:rsidRDefault="00927BDE" w:rsidP="1ED4170D">
      <w:pPr>
        <w:pStyle w:val="Heading2"/>
        <w:rPr>
          <w:lang w:val="en-US"/>
        </w:rPr>
      </w:pPr>
      <w:r>
        <w:rPr>
          <w:lang w:val="en-US"/>
        </w:rPr>
        <w:t>2.</w:t>
      </w:r>
      <w:r w:rsidR="00470F28">
        <w:rPr>
          <w:lang w:val="en-US"/>
        </w:rPr>
        <w:t>2</w:t>
      </w:r>
      <w:r>
        <w:rPr>
          <w:lang w:val="en-US"/>
        </w:rPr>
        <w:tab/>
        <w:t>Radio resource allocation</w:t>
      </w:r>
    </w:p>
    <w:p w14:paraId="5B4DDA0C" w14:textId="1A84149D" w:rsidR="00057C54" w:rsidRDefault="00057C54" w:rsidP="00CE17F4">
      <w:pPr>
        <w:spacing w:after="0"/>
        <w:jc w:val="both"/>
        <w:rPr>
          <w:lang w:val="en-US"/>
        </w:rPr>
      </w:pPr>
      <w:r>
        <w:rPr>
          <w:rStyle w:val="normaltextrun1"/>
          <w:lang w:val="en-US"/>
        </w:rPr>
        <w:t xml:space="preserve">We consider resource allocation aspects between access and BH links in </w:t>
      </w:r>
      <w:r>
        <w:rPr>
          <w:rStyle w:val="normaltextrun1"/>
          <w:color w:val="000000"/>
          <w:shd w:val="clear" w:color="auto" w:fill="E1E3E6"/>
          <w:lang w:val="en-US"/>
        </w:rPr>
        <w:t>[</w:t>
      </w:r>
      <w:r w:rsidR="00470F28">
        <w:rPr>
          <w:rStyle w:val="normaltextrun1"/>
          <w:color w:val="000000"/>
          <w:shd w:val="clear" w:color="auto" w:fill="E1E3E6"/>
          <w:lang w:val="en-US"/>
        </w:rPr>
        <w:t>3</w:t>
      </w:r>
      <w:r>
        <w:rPr>
          <w:rStyle w:val="normaltextrun1"/>
          <w:color w:val="000000"/>
          <w:shd w:val="clear" w:color="auto" w:fill="E1E3E6"/>
          <w:lang w:val="en-US"/>
        </w:rPr>
        <w:t>].</w:t>
      </w:r>
      <w:r>
        <w:rPr>
          <w:rStyle w:val="normaltextrun1"/>
          <w:lang w:val="en-US"/>
        </w:rPr>
        <w:t xml:space="preserve"> It is noted NR Rel-15 supports two scheduling frameworks: 1) slot</w:t>
      </w:r>
      <w:r w:rsidR="00CE17F4">
        <w:rPr>
          <w:rStyle w:val="normaltextrun1"/>
          <w:lang w:val="en-US"/>
        </w:rPr>
        <w:t>-</w:t>
      </w:r>
      <w:r>
        <w:rPr>
          <w:rStyle w:val="normaltextrun1"/>
          <w:lang w:val="en-US"/>
        </w:rPr>
        <w:t xml:space="preserve">based scheduling and 2) non-slot based scheduling. </w:t>
      </w:r>
      <w:r w:rsidR="00CE17F4">
        <w:rPr>
          <w:rStyle w:val="normaltextrun1"/>
          <w:lang w:val="en-US"/>
        </w:rPr>
        <w:t>The slot-</w:t>
      </w:r>
      <w:r>
        <w:rPr>
          <w:rStyle w:val="normaltextrun1"/>
          <w:lang w:val="en-US"/>
        </w:rPr>
        <w:t>based operation where different IAB links (BH DL, BH UL, Access DL, Access UL) are allocated with slot resolution is a feasible resource allocation approach NR IAB operation. Mini-slot based approach is an implementation based option available for IAB operation - the specification support is in place already based on NR Rel-15. Mini-slot based operation allows to minimize the latency involved in the IAB operation but it will increase the system overhead. </w:t>
      </w:r>
      <w:r>
        <w:rPr>
          <w:rStyle w:val="eop"/>
          <w:lang w:val="en-US"/>
        </w:rPr>
        <w:t> </w:t>
      </w:r>
    </w:p>
    <w:p w14:paraId="54B2D99F" w14:textId="493BF2B6" w:rsidR="00057C54" w:rsidRDefault="1ED4170D" w:rsidP="00CE17F4">
      <w:pPr>
        <w:pStyle w:val="paragraph"/>
        <w:jc w:val="both"/>
        <w:textAlignment w:val="baseline"/>
        <w:rPr>
          <w:rStyle w:val="eop"/>
          <w:sz w:val="20"/>
          <w:szCs w:val="20"/>
          <w:lang w:val="en-US"/>
        </w:rPr>
      </w:pPr>
      <w:r w:rsidRPr="1ED4170D">
        <w:rPr>
          <w:rStyle w:val="normaltextrun1"/>
          <w:sz w:val="20"/>
          <w:szCs w:val="20"/>
          <w:lang w:val="en-US"/>
        </w:rPr>
        <w:t>It is also noted that IAB feature does not impact to the access link operation. Hence, it can be introduced without any backwards compatibility issues.</w:t>
      </w:r>
      <w:r w:rsidRPr="1ED4170D">
        <w:rPr>
          <w:rStyle w:val="eop"/>
          <w:sz w:val="20"/>
          <w:szCs w:val="20"/>
          <w:lang w:val="en-US"/>
        </w:rPr>
        <w:t> </w:t>
      </w:r>
    </w:p>
    <w:p w14:paraId="1BDB1DD1" w14:textId="77777777" w:rsidR="00057C54" w:rsidRPr="00057C54" w:rsidRDefault="00057C54" w:rsidP="00057C54">
      <w:pPr>
        <w:pStyle w:val="paragraph"/>
        <w:jc w:val="both"/>
        <w:textAlignment w:val="baseline"/>
        <w:rPr>
          <w:sz w:val="20"/>
          <w:szCs w:val="20"/>
          <w:lang w:val="en-US"/>
        </w:rPr>
      </w:pPr>
    </w:p>
    <w:p w14:paraId="6C538BBD" w14:textId="5DDE32FD" w:rsidR="00057C54" w:rsidRPr="00057C54" w:rsidRDefault="1ED4170D" w:rsidP="1ED4170D">
      <w:pPr>
        <w:pStyle w:val="paragraph"/>
        <w:jc w:val="both"/>
        <w:textAlignment w:val="baseline"/>
        <w:rPr>
          <w:i/>
          <w:iCs/>
          <w:sz w:val="22"/>
          <w:szCs w:val="22"/>
          <w:lang w:val="en-US"/>
        </w:rPr>
      </w:pPr>
      <w:r w:rsidRPr="1ED4170D">
        <w:rPr>
          <w:rStyle w:val="normaltextrun1"/>
          <w:b/>
          <w:bCs/>
          <w:i/>
          <w:iCs/>
          <w:sz w:val="20"/>
          <w:szCs w:val="20"/>
          <w:lang w:val="en-US"/>
        </w:rPr>
        <w:t xml:space="preserve">Observation </w:t>
      </w:r>
      <w:r w:rsidR="00146678">
        <w:rPr>
          <w:rStyle w:val="normaltextrun1"/>
          <w:b/>
          <w:bCs/>
          <w:i/>
          <w:iCs/>
          <w:sz w:val="20"/>
          <w:szCs w:val="20"/>
          <w:lang w:val="en-US"/>
        </w:rPr>
        <w:t>5</w:t>
      </w:r>
      <w:r w:rsidRPr="1ED4170D">
        <w:rPr>
          <w:rStyle w:val="normaltextrun1"/>
          <w:b/>
          <w:bCs/>
          <w:i/>
          <w:iCs/>
          <w:sz w:val="20"/>
          <w:szCs w:val="20"/>
          <w:lang w:val="en-US"/>
        </w:rPr>
        <w:t>: Resource allocation schemes developed for different access link scenarios can be reused for BH link.</w:t>
      </w:r>
      <w:r w:rsidRPr="1ED4170D">
        <w:rPr>
          <w:rStyle w:val="eop"/>
          <w:i/>
          <w:iCs/>
          <w:sz w:val="20"/>
          <w:szCs w:val="20"/>
          <w:lang w:val="en-US"/>
        </w:rPr>
        <w:t> </w:t>
      </w:r>
    </w:p>
    <w:p w14:paraId="7B61959C" w14:textId="40138B68" w:rsidR="00057C54" w:rsidRDefault="00057C54" w:rsidP="00EC4DEE">
      <w:pPr>
        <w:spacing w:after="0"/>
        <w:rPr>
          <w:rFonts w:eastAsia="MS Mincho"/>
          <w:lang w:val="en-US" w:eastAsia="ja-JP"/>
        </w:rPr>
      </w:pPr>
    </w:p>
    <w:p w14:paraId="3ECCDD7B" w14:textId="64DEDC33" w:rsidR="00057C54" w:rsidRPr="00057C54" w:rsidRDefault="1ED4170D" w:rsidP="1ED4170D">
      <w:pPr>
        <w:overflowPunct/>
        <w:autoSpaceDE/>
        <w:autoSpaceDN/>
        <w:adjustRightInd/>
        <w:spacing w:after="0"/>
        <w:jc w:val="both"/>
        <w:rPr>
          <w:rFonts w:eastAsia="Times New Roman"/>
          <w:lang w:val="en-US" w:eastAsia="fi-FI"/>
        </w:rPr>
      </w:pPr>
      <w:r w:rsidRPr="1ED4170D">
        <w:rPr>
          <w:lang w:eastAsia="fi-FI"/>
        </w:rPr>
        <w:t>It was agreed in RAN1#93 that distributed and centralized coordination mechanisms between IAB-donor and IAB-nodes should be studied. Based on the discussion in [</w:t>
      </w:r>
      <w:r w:rsidR="00470F28">
        <w:rPr>
          <w:lang w:eastAsia="fi-FI"/>
        </w:rPr>
        <w:t>3</w:t>
      </w:r>
      <w:r w:rsidRPr="1ED4170D">
        <w:rPr>
          <w:lang w:eastAsia="fi-FI"/>
        </w:rPr>
        <w:t>], we think that distributed coordination should be the starting point:</w:t>
      </w:r>
      <w:r w:rsidRPr="1ED4170D">
        <w:rPr>
          <w:rFonts w:eastAsia="Times New Roman"/>
          <w:lang w:val="en-US" w:eastAsia="fi-FI"/>
        </w:rPr>
        <w:t> </w:t>
      </w:r>
    </w:p>
    <w:p w14:paraId="545981DD" w14:textId="77777777" w:rsidR="00057C54" w:rsidRPr="00057C54" w:rsidRDefault="1ED4170D" w:rsidP="1ED4170D">
      <w:pPr>
        <w:numPr>
          <w:ilvl w:val="0"/>
          <w:numId w:val="47"/>
        </w:numPr>
        <w:overflowPunct/>
        <w:autoSpaceDE/>
        <w:autoSpaceDN/>
        <w:adjustRightInd/>
        <w:spacing w:after="0"/>
        <w:ind w:left="360" w:firstLine="0"/>
        <w:jc w:val="both"/>
        <w:rPr>
          <w:rFonts w:eastAsia="Times New Roman"/>
          <w:lang w:val="en-US" w:eastAsia="fi-FI"/>
        </w:rPr>
      </w:pPr>
      <w:r w:rsidRPr="1ED4170D">
        <w:rPr>
          <w:lang w:eastAsia="fi-FI"/>
        </w:rPr>
        <w:t>Parent node configures the available BH resources (=resource pool) for an IAB node.</w:t>
      </w:r>
      <w:r w:rsidRPr="1ED4170D">
        <w:rPr>
          <w:rFonts w:eastAsia="Times New Roman"/>
          <w:lang w:val="en-US" w:eastAsia="fi-FI"/>
        </w:rPr>
        <w:t> </w:t>
      </w:r>
    </w:p>
    <w:p w14:paraId="08D7CE62" w14:textId="77777777" w:rsidR="00057C54" w:rsidRPr="00057C54" w:rsidRDefault="1ED4170D" w:rsidP="1ED4170D">
      <w:pPr>
        <w:numPr>
          <w:ilvl w:val="0"/>
          <w:numId w:val="47"/>
        </w:numPr>
        <w:overflowPunct/>
        <w:autoSpaceDE/>
        <w:autoSpaceDN/>
        <w:adjustRightInd/>
        <w:spacing w:after="0"/>
        <w:ind w:left="360" w:firstLine="0"/>
        <w:jc w:val="both"/>
        <w:rPr>
          <w:rFonts w:eastAsia="Times New Roman"/>
          <w:lang w:val="en-US" w:eastAsia="fi-FI"/>
        </w:rPr>
      </w:pPr>
      <w:r w:rsidRPr="1ED4170D">
        <w:rPr>
          <w:lang w:eastAsia="fi-FI"/>
        </w:rPr>
        <w:t>Parent node is responsible for DL/UL scheduling for the BH link within the configured resource pool (and according to the agreements made in RAN1#93). </w:t>
      </w:r>
      <w:r w:rsidRPr="1ED4170D">
        <w:rPr>
          <w:rFonts w:eastAsia="Times New Roman"/>
          <w:lang w:val="en-US" w:eastAsia="fi-FI"/>
        </w:rPr>
        <w:t> </w:t>
      </w:r>
    </w:p>
    <w:p w14:paraId="5A1549EF" w14:textId="77777777" w:rsidR="00057C54" w:rsidRPr="00057C54" w:rsidRDefault="1ED4170D" w:rsidP="1ED4170D">
      <w:pPr>
        <w:numPr>
          <w:ilvl w:val="0"/>
          <w:numId w:val="48"/>
        </w:numPr>
        <w:overflowPunct/>
        <w:autoSpaceDE/>
        <w:autoSpaceDN/>
        <w:adjustRightInd/>
        <w:spacing w:after="0"/>
        <w:ind w:left="360" w:firstLine="0"/>
        <w:jc w:val="both"/>
        <w:rPr>
          <w:rFonts w:eastAsia="Times New Roman"/>
          <w:lang w:val="en-US" w:eastAsia="fi-FI"/>
        </w:rPr>
      </w:pPr>
      <w:r w:rsidRPr="1ED4170D">
        <w:rPr>
          <w:lang w:eastAsia="fi-FI"/>
        </w:rPr>
        <w:t>IAB access link operation is constrained by the BH operation according to the duplexing scheme of the IAB node.</w:t>
      </w:r>
      <w:r w:rsidRPr="1ED4170D">
        <w:rPr>
          <w:rFonts w:eastAsia="Times New Roman"/>
          <w:lang w:val="en-US" w:eastAsia="fi-FI"/>
        </w:rPr>
        <w:t> </w:t>
      </w:r>
    </w:p>
    <w:p w14:paraId="7DC248D6" w14:textId="77777777" w:rsidR="00057C54" w:rsidRPr="00057C54" w:rsidRDefault="1ED4170D" w:rsidP="1ED4170D">
      <w:pPr>
        <w:numPr>
          <w:ilvl w:val="0"/>
          <w:numId w:val="48"/>
        </w:numPr>
        <w:overflowPunct/>
        <w:autoSpaceDE/>
        <w:autoSpaceDN/>
        <w:adjustRightInd/>
        <w:spacing w:after="0"/>
        <w:ind w:left="360" w:firstLine="0"/>
        <w:jc w:val="both"/>
        <w:rPr>
          <w:rFonts w:eastAsia="Times New Roman"/>
          <w:lang w:val="en-US" w:eastAsia="fi-FI"/>
        </w:rPr>
      </w:pPr>
      <w:r w:rsidRPr="1ED4170D">
        <w:rPr>
          <w:lang w:eastAsia="fi-FI"/>
        </w:rPr>
        <w:t>In the case of distributed coordination, IAB-donor is acting just as a parent node. </w:t>
      </w:r>
      <w:r w:rsidRPr="1ED4170D">
        <w:rPr>
          <w:rFonts w:eastAsia="Times New Roman"/>
          <w:lang w:val="en-US" w:eastAsia="fi-FI"/>
        </w:rPr>
        <w:t> </w:t>
      </w:r>
    </w:p>
    <w:p w14:paraId="217132FA" w14:textId="77777777" w:rsidR="00057C54" w:rsidRPr="00057C54" w:rsidRDefault="1ED4170D" w:rsidP="1ED4170D">
      <w:pPr>
        <w:overflowPunct/>
        <w:autoSpaceDE/>
        <w:autoSpaceDN/>
        <w:adjustRightInd/>
        <w:spacing w:after="0"/>
        <w:jc w:val="both"/>
        <w:rPr>
          <w:rFonts w:eastAsia="Times New Roman"/>
          <w:lang w:val="en-US" w:eastAsia="fi-FI"/>
        </w:rPr>
      </w:pPr>
      <w:r w:rsidRPr="1ED4170D">
        <w:rPr>
          <w:rFonts w:eastAsia="Times New Roman"/>
          <w:lang w:val="en-US" w:eastAsia="fi-FI"/>
        </w:rPr>
        <w:t> </w:t>
      </w:r>
    </w:p>
    <w:p w14:paraId="7D006FA6" w14:textId="77777777" w:rsidR="00057C54" w:rsidRDefault="1ED4170D" w:rsidP="1ED4170D">
      <w:pPr>
        <w:overflowPunct/>
        <w:autoSpaceDE/>
        <w:autoSpaceDN/>
        <w:adjustRightInd/>
        <w:spacing w:after="0"/>
        <w:jc w:val="both"/>
        <w:rPr>
          <w:rFonts w:eastAsia="Times New Roman"/>
          <w:lang w:eastAsia="fi-FI"/>
        </w:rPr>
      </w:pPr>
      <w:r w:rsidRPr="1ED4170D">
        <w:rPr>
          <w:lang w:eastAsia="fi-FI"/>
        </w:rPr>
        <w:t>In the case of centralized coordination, IAB-donor configures the resource usage for multiple hops. Coordination may cover not only the resource pool defined for the BH link(s), but also resource pool available for the access link(s). </w:t>
      </w:r>
    </w:p>
    <w:p w14:paraId="3EE7F6A2" w14:textId="10019C00" w:rsidR="00057C54" w:rsidRDefault="00057C54" w:rsidP="00057C54">
      <w:pPr>
        <w:overflowPunct/>
        <w:autoSpaceDE/>
        <w:autoSpaceDN/>
        <w:adjustRightInd/>
        <w:spacing w:after="0"/>
        <w:jc w:val="both"/>
        <w:rPr>
          <w:rFonts w:eastAsia="Times New Roman"/>
          <w:lang w:val="en-US" w:eastAsia="fi-FI"/>
        </w:rPr>
      </w:pPr>
    </w:p>
    <w:p w14:paraId="0A033FA4" w14:textId="15CFF649" w:rsidR="00F56C5E" w:rsidRPr="00057C54" w:rsidRDefault="00146678" w:rsidP="1ED4170D">
      <w:pPr>
        <w:overflowPunct/>
        <w:autoSpaceDE/>
        <w:autoSpaceDN/>
        <w:adjustRightInd/>
        <w:spacing w:after="0"/>
        <w:jc w:val="both"/>
        <w:rPr>
          <w:rFonts w:eastAsia="Times New Roman"/>
          <w:b/>
          <w:bCs/>
          <w:lang w:val="en-US" w:eastAsia="fi-FI"/>
        </w:rPr>
      </w:pPr>
      <w:r>
        <w:rPr>
          <w:b/>
          <w:bCs/>
          <w:i/>
          <w:iCs/>
          <w:lang w:eastAsia="fi-FI"/>
        </w:rPr>
        <w:t>Proposal 2</w:t>
      </w:r>
      <w:r w:rsidR="1ED4170D" w:rsidRPr="1ED4170D">
        <w:rPr>
          <w:rFonts w:eastAsia="Times New Roman"/>
          <w:b/>
          <w:bCs/>
          <w:i/>
          <w:iCs/>
          <w:lang w:eastAsia="fi-FI"/>
        </w:rPr>
        <w:t xml:space="preserve">: </w:t>
      </w:r>
      <w:r w:rsidR="1ED4170D" w:rsidRPr="1ED4170D">
        <w:rPr>
          <w:b/>
          <w:bCs/>
          <w:i/>
          <w:iCs/>
          <w:lang w:eastAsia="fi-FI"/>
        </w:rPr>
        <w:t>Distributed resource pool coordination scheme is the baseline resource allocation scheme. It can be enhanced by centralized coordination by IAB-donor.</w:t>
      </w:r>
      <w:r w:rsidR="1ED4170D" w:rsidRPr="1ED4170D">
        <w:rPr>
          <w:rFonts w:eastAsia="Times New Roman"/>
          <w:b/>
          <w:bCs/>
          <w:lang w:val="en-US" w:eastAsia="fi-FI"/>
        </w:rPr>
        <w:t> </w:t>
      </w:r>
    </w:p>
    <w:p w14:paraId="0ADAE155" w14:textId="77777777" w:rsidR="00F56C5E" w:rsidRDefault="00F56C5E" w:rsidP="00057C54">
      <w:pPr>
        <w:overflowPunct/>
        <w:autoSpaceDE/>
        <w:autoSpaceDN/>
        <w:adjustRightInd/>
        <w:spacing w:after="0"/>
        <w:jc w:val="both"/>
        <w:rPr>
          <w:rFonts w:eastAsia="Times New Roman"/>
          <w:lang w:val="en-US" w:eastAsia="fi-FI"/>
        </w:rPr>
      </w:pPr>
    </w:p>
    <w:p w14:paraId="55F5F2D0" w14:textId="40CF1611" w:rsidR="00057C54" w:rsidRPr="00057C54" w:rsidRDefault="1ED4170D" w:rsidP="1ED4170D">
      <w:pPr>
        <w:pStyle w:val="paragraph"/>
        <w:jc w:val="both"/>
        <w:textAlignment w:val="baseline"/>
        <w:rPr>
          <w:sz w:val="22"/>
          <w:szCs w:val="22"/>
          <w:lang w:val="en-US"/>
        </w:rPr>
      </w:pPr>
      <w:r w:rsidRPr="1ED4170D">
        <w:rPr>
          <w:rStyle w:val="normaltextrun1"/>
          <w:sz w:val="20"/>
          <w:szCs w:val="20"/>
          <w:lang w:val="en-GB"/>
        </w:rPr>
        <w:t>It is noted that NR Rel-15 supports already semi-static pool configuration between BH and access link. For example, in the case of TDM between access and backhaul, an IAB-node can configure BH resources in the access link as the reserved resources. In order to maximize the commonality with NR-Rel-15, the granularity for the resource pool coordination between IAB-donor and IAB-nodes should be one slot. Depending on the IAB architecture and protocol choices, RRC signalling may need to be enhanced to support multiple hops with centralized resource pool coordination.</w:t>
      </w:r>
      <w:r w:rsidRPr="1ED4170D">
        <w:rPr>
          <w:rStyle w:val="eop"/>
          <w:sz w:val="20"/>
          <w:szCs w:val="20"/>
          <w:lang w:val="en-US"/>
        </w:rPr>
        <w:t> </w:t>
      </w:r>
    </w:p>
    <w:p w14:paraId="3F0AD60B" w14:textId="10AC90CB" w:rsidR="00057C54" w:rsidRPr="00991B92" w:rsidRDefault="1ED4170D" w:rsidP="1ED4170D">
      <w:pPr>
        <w:pStyle w:val="paragraph"/>
        <w:jc w:val="both"/>
        <w:textAlignment w:val="baseline"/>
        <w:rPr>
          <w:b/>
          <w:bCs/>
          <w:i/>
          <w:iCs/>
          <w:lang w:val="en-US"/>
        </w:rPr>
      </w:pPr>
      <w:r w:rsidRPr="1ED4170D">
        <w:rPr>
          <w:rStyle w:val="eop"/>
          <w:sz w:val="20"/>
          <w:szCs w:val="20"/>
          <w:lang w:val="en-US"/>
        </w:rPr>
        <w:t> </w:t>
      </w:r>
    </w:p>
    <w:p w14:paraId="6F44B093" w14:textId="341A3854" w:rsidR="00057C54" w:rsidRDefault="00146678" w:rsidP="1ED4170D">
      <w:pPr>
        <w:pStyle w:val="paragraph"/>
        <w:jc w:val="both"/>
        <w:textAlignment w:val="baseline"/>
        <w:rPr>
          <w:rStyle w:val="eop"/>
          <w:b/>
          <w:bCs/>
          <w:sz w:val="20"/>
          <w:szCs w:val="20"/>
          <w:lang w:val="en-US"/>
        </w:rPr>
      </w:pPr>
      <w:r>
        <w:rPr>
          <w:rStyle w:val="normaltextrun1"/>
          <w:b/>
          <w:bCs/>
          <w:i/>
          <w:iCs/>
          <w:sz w:val="20"/>
          <w:szCs w:val="20"/>
          <w:lang w:val="en-GB"/>
        </w:rPr>
        <w:t>Proposal 3</w:t>
      </w:r>
      <w:r w:rsidR="1ED4170D" w:rsidRPr="1ED4170D">
        <w:rPr>
          <w:rStyle w:val="normaltextrun1"/>
          <w:b/>
          <w:bCs/>
          <w:i/>
          <w:iCs/>
          <w:sz w:val="20"/>
          <w:szCs w:val="20"/>
          <w:lang w:val="en-GB"/>
        </w:rPr>
        <w:t>: Granularity for the resource pool coordination between IAB-donor and IAB-nodes is one slot.</w:t>
      </w:r>
      <w:r w:rsidR="1ED4170D" w:rsidRPr="1ED4170D">
        <w:rPr>
          <w:rStyle w:val="eop"/>
          <w:b/>
          <w:bCs/>
          <w:sz w:val="20"/>
          <w:szCs w:val="20"/>
          <w:lang w:val="en-US"/>
        </w:rPr>
        <w:t> </w:t>
      </w:r>
    </w:p>
    <w:p w14:paraId="371AB19D" w14:textId="77777777" w:rsidR="00470F28" w:rsidRPr="00057C54" w:rsidRDefault="00470F28" w:rsidP="1ED4170D">
      <w:pPr>
        <w:pStyle w:val="paragraph"/>
        <w:jc w:val="both"/>
        <w:textAlignment w:val="baseline"/>
        <w:rPr>
          <w:b/>
          <w:bCs/>
          <w:sz w:val="22"/>
          <w:szCs w:val="22"/>
          <w:lang w:val="en-US"/>
        </w:rPr>
      </w:pPr>
    </w:p>
    <w:p w14:paraId="3936DAD5" w14:textId="1A1C5A9A" w:rsidR="00057C54" w:rsidRPr="00057C54" w:rsidRDefault="00146678" w:rsidP="1ED4170D">
      <w:pPr>
        <w:pStyle w:val="paragraph"/>
        <w:jc w:val="both"/>
        <w:textAlignment w:val="baseline"/>
        <w:rPr>
          <w:b/>
          <w:bCs/>
          <w:sz w:val="22"/>
          <w:szCs w:val="22"/>
          <w:lang w:val="en-US"/>
        </w:rPr>
      </w:pPr>
      <w:r>
        <w:rPr>
          <w:rStyle w:val="normaltextrun1"/>
          <w:b/>
          <w:bCs/>
          <w:i/>
          <w:iCs/>
          <w:sz w:val="20"/>
          <w:szCs w:val="20"/>
          <w:lang w:val="en-GB"/>
        </w:rPr>
        <w:t>Observation 6</w:t>
      </w:r>
      <w:r w:rsidR="1ED4170D" w:rsidRPr="1ED4170D">
        <w:rPr>
          <w:rStyle w:val="normaltextrun1"/>
          <w:b/>
          <w:bCs/>
          <w:i/>
          <w:iCs/>
          <w:sz w:val="20"/>
          <w:szCs w:val="20"/>
          <w:lang w:val="en-GB"/>
        </w:rPr>
        <w:t>: Depending on the IAB architecture and protocol choices, RRC signalling may need to be enhanced to support multiple hops with centralized resource pool coordination.</w:t>
      </w:r>
      <w:r w:rsidR="1ED4170D" w:rsidRPr="1ED4170D">
        <w:rPr>
          <w:rStyle w:val="eop"/>
          <w:b/>
          <w:bCs/>
          <w:sz w:val="20"/>
          <w:szCs w:val="20"/>
          <w:lang w:val="en-US"/>
        </w:rPr>
        <w:t> </w:t>
      </w:r>
    </w:p>
    <w:p w14:paraId="0875F8B8" w14:textId="77777777" w:rsidR="00057C54" w:rsidRPr="00057C54" w:rsidRDefault="1ED4170D" w:rsidP="1ED4170D">
      <w:pPr>
        <w:overflowPunct/>
        <w:autoSpaceDE/>
        <w:autoSpaceDN/>
        <w:adjustRightInd/>
        <w:spacing w:after="0"/>
        <w:jc w:val="both"/>
        <w:rPr>
          <w:rFonts w:eastAsia="Times New Roman"/>
          <w:sz w:val="18"/>
          <w:szCs w:val="18"/>
          <w:lang w:val="en-US" w:eastAsia="fi-FI"/>
        </w:rPr>
      </w:pPr>
      <w:r w:rsidRPr="1ED4170D">
        <w:rPr>
          <w:rFonts w:eastAsia="Times New Roman"/>
          <w:sz w:val="18"/>
          <w:szCs w:val="18"/>
          <w:lang w:val="en-US" w:eastAsia="fi-FI"/>
        </w:rPr>
        <w:t> </w:t>
      </w:r>
    </w:p>
    <w:p w14:paraId="12167A17" w14:textId="5E4AEB6D" w:rsidR="00057C54" w:rsidRDefault="1ED4170D" w:rsidP="1ED4170D">
      <w:pPr>
        <w:pStyle w:val="paragraph"/>
        <w:jc w:val="both"/>
        <w:textAlignment w:val="baseline"/>
        <w:rPr>
          <w:lang w:val="en-US"/>
        </w:rPr>
      </w:pPr>
      <w:r w:rsidRPr="1ED4170D">
        <w:rPr>
          <w:rStyle w:val="normaltextrun1"/>
          <w:sz w:val="20"/>
          <w:szCs w:val="20"/>
          <w:lang w:val="en-US"/>
        </w:rPr>
        <w:t>One of the key objectives of IAB SI is to investigate dynamic resource allocation between the backhaul and access links. As discussed in [</w:t>
      </w:r>
      <w:r w:rsidR="00470F28">
        <w:rPr>
          <w:rStyle w:val="normaltextrun1"/>
          <w:sz w:val="20"/>
          <w:szCs w:val="20"/>
          <w:lang w:val="en-US"/>
        </w:rPr>
        <w:t>3</w:t>
      </w:r>
      <w:r w:rsidRPr="1ED4170D">
        <w:rPr>
          <w:rStyle w:val="normaltextrun1"/>
          <w:sz w:val="20"/>
          <w:szCs w:val="20"/>
          <w:lang w:val="en-US"/>
        </w:rPr>
        <w:t>] we consider GC-PDCCH as the signal facilitating dynamic resource pool adaptation. In order to provide robust operation for the RN cell, GC-PDCCH needs to be transmitted via fixed DL BH resources. We think that possible GC-PDCCH enhancements taking into account different IAB scenarios need to be considered as part of the IAB RAN1 studies. </w:t>
      </w:r>
      <w:r w:rsidRPr="1ED4170D">
        <w:rPr>
          <w:rStyle w:val="eop"/>
          <w:sz w:val="20"/>
          <w:szCs w:val="20"/>
          <w:lang w:val="en-US"/>
        </w:rPr>
        <w:t> </w:t>
      </w:r>
    </w:p>
    <w:p w14:paraId="03567DC1" w14:textId="77777777" w:rsidR="00057C54" w:rsidRDefault="1ED4170D" w:rsidP="1ED4170D">
      <w:pPr>
        <w:pStyle w:val="paragraph"/>
        <w:textAlignment w:val="baseline"/>
        <w:rPr>
          <w:lang w:val="en-US"/>
        </w:rPr>
      </w:pPr>
      <w:r w:rsidRPr="1ED4170D">
        <w:rPr>
          <w:rStyle w:val="eop"/>
          <w:sz w:val="20"/>
          <w:szCs w:val="20"/>
          <w:lang w:val="en-US"/>
        </w:rPr>
        <w:t> </w:t>
      </w:r>
    </w:p>
    <w:p w14:paraId="28230DD6" w14:textId="611FFCE8" w:rsidR="00057C54" w:rsidRPr="00146678" w:rsidRDefault="00146678" w:rsidP="1ED4170D">
      <w:pPr>
        <w:pStyle w:val="paragraph"/>
        <w:jc w:val="both"/>
        <w:textAlignment w:val="baseline"/>
        <w:rPr>
          <w:rStyle w:val="eop"/>
          <w:i/>
          <w:sz w:val="20"/>
          <w:szCs w:val="20"/>
          <w:lang w:val="en-US"/>
        </w:rPr>
      </w:pPr>
      <w:r w:rsidRPr="00146678">
        <w:rPr>
          <w:rStyle w:val="normaltextrun1"/>
          <w:b/>
          <w:bCs/>
          <w:i/>
          <w:sz w:val="20"/>
          <w:szCs w:val="20"/>
          <w:lang w:val="en-US"/>
        </w:rPr>
        <w:t>Proposal 4</w:t>
      </w:r>
      <w:r w:rsidR="1ED4170D" w:rsidRPr="00146678">
        <w:rPr>
          <w:rStyle w:val="normaltextrun1"/>
          <w:b/>
          <w:bCs/>
          <w:i/>
          <w:sz w:val="20"/>
          <w:szCs w:val="20"/>
          <w:lang w:val="en-US"/>
        </w:rPr>
        <w:t>: GC-PDCCH enhancements are needed to facilitate dynamic resource allocation between the backhaul and access links as well as centralized resource coordination.</w:t>
      </w:r>
      <w:r w:rsidR="1ED4170D" w:rsidRPr="00146678">
        <w:rPr>
          <w:rStyle w:val="eop"/>
          <w:i/>
          <w:sz w:val="20"/>
          <w:szCs w:val="20"/>
          <w:lang w:val="en-US"/>
        </w:rPr>
        <w:t> </w:t>
      </w:r>
    </w:p>
    <w:p w14:paraId="63D69179" w14:textId="77777777" w:rsidR="00057C54" w:rsidRDefault="1ED4170D" w:rsidP="1ED4170D">
      <w:pPr>
        <w:pStyle w:val="paragraph"/>
        <w:jc w:val="both"/>
        <w:textAlignment w:val="baseline"/>
        <w:rPr>
          <w:lang w:val="en-US"/>
        </w:rPr>
      </w:pPr>
      <w:r w:rsidRPr="1ED4170D">
        <w:rPr>
          <w:rStyle w:val="eop"/>
          <w:sz w:val="20"/>
          <w:szCs w:val="20"/>
          <w:lang w:val="en-US"/>
        </w:rPr>
        <w:t> </w:t>
      </w:r>
    </w:p>
    <w:p w14:paraId="3997BAC8" w14:textId="6F2EAB3A" w:rsidR="00057C54" w:rsidRDefault="1ED4170D" w:rsidP="1ED4170D">
      <w:pPr>
        <w:pStyle w:val="paragraph"/>
        <w:jc w:val="both"/>
        <w:textAlignment w:val="baseline"/>
        <w:rPr>
          <w:lang w:val="en-US"/>
        </w:rPr>
      </w:pPr>
      <w:r w:rsidRPr="1ED4170D">
        <w:rPr>
          <w:rStyle w:val="normaltextrun1"/>
          <w:sz w:val="20"/>
          <w:szCs w:val="20"/>
          <w:lang w:val="en-US"/>
        </w:rPr>
        <w:t>It is stated in the IAB SID that “The 5G network shall support multi-hop wireless self-backhauling”. The observation based on [</w:t>
      </w:r>
      <w:r w:rsidR="00470F28">
        <w:rPr>
          <w:rStyle w:val="normaltextrun1"/>
          <w:sz w:val="20"/>
          <w:szCs w:val="20"/>
          <w:lang w:val="en-US"/>
        </w:rPr>
        <w:t>3</w:t>
      </w:r>
      <w:r w:rsidRPr="1ED4170D">
        <w:rPr>
          <w:rStyle w:val="normaltextrun1"/>
          <w:sz w:val="20"/>
          <w:szCs w:val="20"/>
          <w:lang w:val="en-US"/>
        </w:rPr>
        <w:t>] is that from resource allocation point of view, the multi-hop scenario can be supported already by the existing NR Rel-15 solution. On the other hand, RN processing capability impacts to the overall IAB latency performance especially in the multi-hop scenarios. In order to guarantee sufficient latency, there is a need to consider RN processing times in addition to the UE processing times defined in NR Rel-15. It is also noted in [4] that IAB scenario introduces additional latency components, which needs to be considered as part of the RAN1 IAB studies.</w:t>
      </w:r>
      <w:r w:rsidRPr="1ED4170D">
        <w:rPr>
          <w:rStyle w:val="eop"/>
          <w:sz w:val="20"/>
          <w:szCs w:val="20"/>
          <w:lang w:val="en-US"/>
        </w:rPr>
        <w:t> </w:t>
      </w:r>
    </w:p>
    <w:p w14:paraId="0CE54CBF" w14:textId="77777777" w:rsidR="00057C54" w:rsidRDefault="1ED4170D" w:rsidP="1ED4170D">
      <w:pPr>
        <w:pStyle w:val="paragraph"/>
        <w:jc w:val="both"/>
        <w:textAlignment w:val="baseline"/>
        <w:rPr>
          <w:lang w:val="en-US"/>
        </w:rPr>
      </w:pPr>
      <w:r w:rsidRPr="1ED4170D">
        <w:rPr>
          <w:rStyle w:val="eop"/>
          <w:sz w:val="20"/>
          <w:szCs w:val="20"/>
          <w:lang w:val="en-US"/>
        </w:rPr>
        <w:t> </w:t>
      </w:r>
    </w:p>
    <w:p w14:paraId="53BDF6CE" w14:textId="27983C59" w:rsidR="00057C54" w:rsidRPr="00146678" w:rsidRDefault="00146678" w:rsidP="1ED4170D">
      <w:pPr>
        <w:pStyle w:val="paragraph"/>
        <w:jc w:val="both"/>
        <w:textAlignment w:val="baseline"/>
        <w:rPr>
          <w:i/>
          <w:lang w:val="en-US"/>
        </w:rPr>
      </w:pPr>
      <w:bookmarkStart w:id="0" w:name="_Hlk521668533"/>
      <w:r w:rsidRPr="00146678">
        <w:rPr>
          <w:rStyle w:val="normaltextrun1"/>
          <w:b/>
          <w:bCs/>
          <w:i/>
          <w:sz w:val="20"/>
          <w:szCs w:val="20"/>
          <w:lang w:val="en-US"/>
        </w:rPr>
        <w:t>Proposal 5</w:t>
      </w:r>
      <w:r w:rsidR="1ED4170D" w:rsidRPr="00146678">
        <w:rPr>
          <w:rStyle w:val="normaltextrun1"/>
          <w:b/>
          <w:bCs/>
          <w:i/>
          <w:sz w:val="20"/>
          <w:szCs w:val="20"/>
          <w:lang w:val="en-US"/>
        </w:rPr>
        <w:t>: RN processing time capabilities need to be discussed as part of the IAB studies.</w:t>
      </w:r>
      <w:r w:rsidR="1ED4170D" w:rsidRPr="00146678">
        <w:rPr>
          <w:rStyle w:val="eop"/>
          <w:i/>
          <w:sz w:val="20"/>
          <w:szCs w:val="20"/>
          <w:lang w:val="en-US"/>
        </w:rPr>
        <w:t> </w:t>
      </w:r>
    </w:p>
    <w:bookmarkEnd w:id="0"/>
    <w:p w14:paraId="123BE97D" w14:textId="77777777" w:rsidR="00057C54" w:rsidRPr="00606731" w:rsidRDefault="00057C54" w:rsidP="00EC4DEE">
      <w:pPr>
        <w:spacing w:after="0"/>
        <w:rPr>
          <w:rFonts w:eastAsia="MS Mincho"/>
          <w:lang w:eastAsia="ja-JP"/>
        </w:rPr>
      </w:pPr>
    </w:p>
    <w:p w14:paraId="5466F7E9" w14:textId="715F4015" w:rsidR="008B062B" w:rsidRDefault="00470F28" w:rsidP="1ED4170D">
      <w:pPr>
        <w:pStyle w:val="Heading2"/>
        <w:rPr>
          <w:lang w:val="en-US"/>
        </w:rPr>
      </w:pPr>
      <w:r>
        <w:rPr>
          <w:lang w:val="en-US"/>
        </w:rPr>
        <w:t>2.3</w:t>
      </w:r>
      <w:r w:rsidR="008B062B">
        <w:rPr>
          <w:lang w:val="en-US"/>
        </w:rPr>
        <w:tab/>
        <w:t>RACH enhancements</w:t>
      </w:r>
    </w:p>
    <w:p w14:paraId="6C80FFDD" w14:textId="5F49F504" w:rsidR="00F941B5" w:rsidRDefault="00F941B5" w:rsidP="00F941B5">
      <w:pPr>
        <w:spacing w:line="276" w:lineRule="auto"/>
        <w:jc w:val="both"/>
        <w:rPr>
          <w:b/>
          <w:lang w:val="en-US"/>
        </w:rPr>
      </w:pPr>
      <w:r>
        <w:rPr>
          <w:lang w:val="en-US"/>
        </w:rPr>
        <w:t xml:space="preserve">It was agreed in RAN1 #93 to further study mechanisms </w:t>
      </w:r>
      <w:r w:rsidR="00951348" w:rsidRPr="00951348">
        <w:rPr>
          <w:lang w:val="en-US"/>
        </w:rPr>
        <w:t xml:space="preserve">for multiplexing of </w:t>
      </w:r>
      <w:r>
        <w:rPr>
          <w:lang w:val="en-US"/>
        </w:rPr>
        <w:t>RACH transmissions</w:t>
      </w:r>
      <w:r w:rsidRPr="005F1CCB">
        <w:rPr>
          <w:lang w:val="en-US"/>
        </w:rPr>
        <w:t xml:space="preserve"> </w:t>
      </w:r>
      <w:r>
        <w:rPr>
          <w:lang w:val="en-US"/>
        </w:rPr>
        <w:t>from UEs and RACH transmissions</w:t>
      </w:r>
      <w:r w:rsidRPr="005F1CCB">
        <w:rPr>
          <w:lang w:val="en-US"/>
        </w:rPr>
        <w:t xml:space="preserve"> </w:t>
      </w:r>
      <w:r>
        <w:rPr>
          <w:lang w:val="en-US"/>
        </w:rPr>
        <w:t>from IAB nodes</w:t>
      </w:r>
      <w:r w:rsidRPr="005F1CCB">
        <w:rPr>
          <w:lang w:val="en-US"/>
        </w:rPr>
        <w:t xml:space="preserve">. </w:t>
      </w:r>
      <w:r w:rsidRPr="00F941B5">
        <w:rPr>
          <w:lang w:val="en-US"/>
        </w:rPr>
        <w:t>In [</w:t>
      </w:r>
      <w:r w:rsidR="00470F28">
        <w:rPr>
          <w:lang w:val="en-US"/>
        </w:rPr>
        <w:t>4</w:t>
      </w:r>
      <w:r w:rsidRPr="00F941B5">
        <w:rPr>
          <w:lang w:val="en-US"/>
        </w:rPr>
        <w:t xml:space="preserve">], </w:t>
      </w:r>
      <w:r>
        <w:rPr>
          <w:lang w:val="en-US"/>
        </w:rPr>
        <w:t>we discus</w:t>
      </w:r>
      <w:r w:rsidR="00951348">
        <w:rPr>
          <w:lang w:val="en-US"/>
        </w:rPr>
        <w:t xml:space="preserve">s RACH transmissions </w:t>
      </w:r>
      <w:r>
        <w:rPr>
          <w:lang w:val="en-US"/>
        </w:rPr>
        <w:t xml:space="preserve">of the UE part of the IAB nodes and access UEs, and how </w:t>
      </w:r>
      <w:r w:rsidR="00951348">
        <w:rPr>
          <w:lang w:val="en-US"/>
        </w:rPr>
        <w:t>that</w:t>
      </w:r>
      <w:r>
        <w:rPr>
          <w:lang w:val="en-US"/>
        </w:rPr>
        <w:t xml:space="preserve"> is impacting one another. In general, IAB deployed network would use fixed relays and </w:t>
      </w:r>
      <w:r w:rsidR="00951348">
        <w:rPr>
          <w:lang w:val="en-US"/>
        </w:rPr>
        <w:t xml:space="preserve">have </w:t>
      </w:r>
      <w:r>
        <w:rPr>
          <w:lang w:val="en-US"/>
        </w:rPr>
        <w:t>a good LoS probability t</w:t>
      </w:r>
      <w:r w:rsidRPr="005F1CCB">
        <w:rPr>
          <w:lang w:val="en-US"/>
        </w:rPr>
        <w:t>o the donor gNB(s) or parent IAB node(s)</w:t>
      </w:r>
      <w:r>
        <w:rPr>
          <w:lang w:val="en-US"/>
        </w:rPr>
        <w:t xml:space="preserve"> in order to be beneficial considering the drawbacks associated with the half-duplexing constraints. </w:t>
      </w:r>
      <w:r w:rsidRPr="005F1CCB">
        <w:rPr>
          <w:lang w:val="en-US"/>
        </w:rPr>
        <w:t xml:space="preserve">In this kind of situations, one can easily understand that initial access procedures </w:t>
      </w:r>
      <w:r w:rsidR="00951348">
        <w:rPr>
          <w:lang w:val="en-US"/>
        </w:rPr>
        <w:t>are applied</w:t>
      </w:r>
      <w:r w:rsidRPr="005F1CCB">
        <w:rPr>
          <w:lang w:val="en-US"/>
        </w:rPr>
        <w:t xml:space="preserve"> only when the IAB node is powered on or after a loss of backhaul connection(s) leading to UE component of the IAB node going idle.</w:t>
      </w:r>
    </w:p>
    <w:p w14:paraId="16641B8E" w14:textId="25C122F1" w:rsidR="00F941B5" w:rsidRPr="00146678" w:rsidRDefault="00F941B5" w:rsidP="00F941B5">
      <w:pPr>
        <w:spacing w:line="276" w:lineRule="auto"/>
        <w:jc w:val="both"/>
        <w:rPr>
          <w:b/>
          <w:i/>
          <w:lang w:val="en-US"/>
        </w:rPr>
      </w:pPr>
      <w:r w:rsidRPr="00146678">
        <w:rPr>
          <w:b/>
          <w:i/>
          <w:lang w:val="en-US"/>
        </w:rPr>
        <w:t xml:space="preserve">Observation </w:t>
      </w:r>
      <w:r w:rsidR="00146678" w:rsidRPr="00146678">
        <w:rPr>
          <w:b/>
          <w:i/>
          <w:lang w:val="en-US"/>
        </w:rPr>
        <w:t>7</w:t>
      </w:r>
      <w:r w:rsidRPr="00146678">
        <w:rPr>
          <w:b/>
          <w:i/>
          <w:lang w:val="en-US"/>
        </w:rPr>
        <w:t xml:space="preserve">: Random access of the UE part of the IAB node is less frequent compared to access UEs. </w:t>
      </w:r>
    </w:p>
    <w:p w14:paraId="1981D71A" w14:textId="112109A3" w:rsidR="00F941B5" w:rsidRDefault="00F941B5" w:rsidP="00F941B5">
      <w:pPr>
        <w:spacing w:line="276" w:lineRule="auto"/>
        <w:jc w:val="both"/>
        <w:rPr>
          <w:lang w:val="en-US"/>
        </w:rPr>
      </w:pPr>
      <w:r>
        <w:rPr>
          <w:lang w:val="en-US"/>
        </w:rPr>
        <w:t>IAB nodes can have a higher number of antennas and</w:t>
      </w:r>
      <w:r w:rsidR="00951348">
        <w:rPr>
          <w:lang w:val="en-US"/>
        </w:rPr>
        <w:t xml:space="preserve"> LoS to DgNB and other IAB node, and i</w:t>
      </w:r>
      <w:r>
        <w:rPr>
          <w:lang w:val="en-US"/>
        </w:rPr>
        <w:t xml:space="preserve">t is expected that much higher pathloss would be supported for random access between two IAB nodes (or an IAB node </w:t>
      </w:r>
      <w:r w:rsidR="00951348">
        <w:rPr>
          <w:lang w:val="en-US"/>
        </w:rPr>
        <w:t>and a DgNB) than for access UEs. T</w:t>
      </w:r>
      <w:r>
        <w:rPr>
          <w:lang w:val="en-US"/>
        </w:rPr>
        <w:t xml:space="preserve">herefore, one can say that considerably longer round-trip times should be supported for RACH between IAB nodes than between a UE and an IAB node. In a typical application of IAB for coverage extension, the RACH for IAB should support roughly twice the round-trip time that is needed for UEs. Also supporting RACH between IAB nodes separated by multiple hops may seldom </w:t>
      </w:r>
      <w:r w:rsidR="00951348">
        <w:rPr>
          <w:lang w:val="en-US"/>
        </w:rPr>
        <w:t xml:space="preserve">be </w:t>
      </w:r>
      <w:r>
        <w:rPr>
          <w:lang w:val="en-US"/>
        </w:rPr>
        <w:t xml:space="preserve">necessary in a fully deployed network. </w:t>
      </w:r>
    </w:p>
    <w:p w14:paraId="2525CE7C" w14:textId="2BF0BC2C" w:rsidR="00F941B5" w:rsidRPr="00146678" w:rsidRDefault="00F941B5" w:rsidP="00F941B5">
      <w:pPr>
        <w:spacing w:line="276" w:lineRule="auto"/>
        <w:jc w:val="both"/>
        <w:rPr>
          <w:b/>
          <w:i/>
          <w:lang w:val="en-US"/>
        </w:rPr>
      </w:pPr>
      <w:r w:rsidRPr="00146678">
        <w:rPr>
          <w:b/>
          <w:i/>
          <w:lang w:val="en-US"/>
        </w:rPr>
        <w:t xml:space="preserve">Observation </w:t>
      </w:r>
      <w:r w:rsidR="00146678" w:rsidRPr="00146678">
        <w:rPr>
          <w:b/>
          <w:i/>
          <w:lang w:val="en-US"/>
        </w:rPr>
        <w:t>8</w:t>
      </w:r>
      <w:r w:rsidRPr="00146678">
        <w:rPr>
          <w:b/>
          <w:i/>
          <w:lang w:val="en-US"/>
        </w:rPr>
        <w:t xml:space="preserve">: For sharing RACH resources between IAB and UE access, the maximum round-trip time (i.e. cyclic shift step) should be estimated based on the IAB hop length rather than the maximum path loss supported by IAB node for a RACH format.  </w:t>
      </w:r>
    </w:p>
    <w:p w14:paraId="366F3890" w14:textId="77777777" w:rsidR="00F941B5" w:rsidRDefault="00F941B5" w:rsidP="00F941B5">
      <w:pPr>
        <w:jc w:val="both"/>
      </w:pPr>
      <w:r>
        <w:t xml:space="preserve">Considering infrequent backhaul RACH transmissions and flexible RACH design in NR Rel-15, we do not see a need for introducing new formats or different multiplexing procedure between access and IAB RACH transmissions.  </w:t>
      </w:r>
    </w:p>
    <w:p w14:paraId="63D9AF69" w14:textId="77E92B0E" w:rsidR="00F941B5" w:rsidRDefault="00F941B5" w:rsidP="00F941B5">
      <w:pPr>
        <w:jc w:val="both"/>
        <w:rPr>
          <w:b/>
          <w:i/>
        </w:rPr>
      </w:pPr>
      <w:r w:rsidRPr="00146678">
        <w:rPr>
          <w:b/>
          <w:i/>
        </w:rPr>
        <w:t xml:space="preserve">Proposal </w:t>
      </w:r>
      <w:r w:rsidR="00146678" w:rsidRPr="00146678">
        <w:rPr>
          <w:b/>
          <w:i/>
        </w:rPr>
        <w:t>6</w:t>
      </w:r>
      <w:r w:rsidRPr="00146678">
        <w:rPr>
          <w:b/>
          <w:i/>
        </w:rPr>
        <w:t xml:space="preserve">: Multiplexing RACH transmissions of access UEs and IAB nodes can be handled within the Rel-15 framework. </w:t>
      </w:r>
    </w:p>
    <w:p w14:paraId="4725A6E8" w14:textId="77777777" w:rsidR="00A14C5B" w:rsidRPr="00146678" w:rsidRDefault="00A14C5B" w:rsidP="00F941B5">
      <w:pPr>
        <w:jc w:val="both"/>
        <w:rPr>
          <w:b/>
          <w:i/>
        </w:rPr>
      </w:pPr>
    </w:p>
    <w:p w14:paraId="7D2955B4" w14:textId="30F1CDC4" w:rsidR="00EC4DEE" w:rsidRDefault="00927BDE" w:rsidP="1ED4170D">
      <w:pPr>
        <w:pStyle w:val="Heading2"/>
        <w:rPr>
          <w:lang w:val="en-US"/>
        </w:rPr>
      </w:pPr>
      <w:r>
        <w:rPr>
          <w:lang w:val="en-US"/>
        </w:rPr>
        <w:t>2.</w:t>
      </w:r>
      <w:r w:rsidR="006901CD">
        <w:rPr>
          <w:lang w:val="en-US"/>
        </w:rPr>
        <w:t>4</w:t>
      </w:r>
      <w:r w:rsidR="00F11C84">
        <w:rPr>
          <w:lang w:val="en-US"/>
        </w:rPr>
        <w:tab/>
        <w:t>IAB timing</w:t>
      </w:r>
    </w:p>
    <w:p w14:paraId="64B776E0" w14:textId="0D5867BF" w:rsidR="0013786F" w:rsidRDefault="0013786F" w:rsidP="00146678">
      <w:pPr>
        <w:spacing w:after="120"/>
        <w:rPr>
          <w:rFonts w:eastAsia="MS Mincho"/>
          <w:lang w:eastAsia="ja-JP"/>
        </w:rPr>
      </w:pPr>
      <w:r>
        <w:rPr>
          <w:rFonts w:eastAsia="MS Mincho"/>
          <w:lang w:eastAsia="ja-JP"/>
        </w:rPr>
        <w:t xml:space="preserve">In </w:t>
      </w:r>
      <w:r>
        <w:rPr>
          <w:rFonts w:eastAsia="MS Mincho"/>
          <w:lang w:eastAsia="ja-JP"/>
        </w:rPr>
        <w:fldChar w:fldCharType="begin"/>
      </w:r>
      <w:r>
        <w:rPr>
          <w:rFonts w:eastAsia="MS Mincho"/>
          <w:lang w:eastAsia="ja-JP"/>
        </w:rPr>
        <w:instrText xml:space="preserve"> REF _Ref521657313 \r \h </w:instrText>
      </w:r>
      <w:r w:rsidR="00146678">
        <w:rPr>
          <w:rFonts w:eastAsia="MS Mincho"/>
          <w:lang w:eastAsia="ja-JP"/>
        </w:rPr>
        <w:instrText xml:space="preserve"> \* MERGEFORMAT </w:instrText>
      </w:r>
      <w:r>
        <w:rPr>
          <w:rFonts w:eastAsia="MS Mincho"/>
          <w:lang w:eastAsia="ja-JP"/>
        </w:rPr>
      </w:r>
      <w:r>
        <w:rPr>
          <w:rFonts w:eastAsia="MS Mincho"/>
          <w:lang w:eastAsia="ja-JP"/>
        </w:rPr>
        <w:fldChar w:fldCharType="separate"/>
      </w:r>
      <w:r>
        <w:rPr>
          <w:rFonts w:eastAsia="MS Mincho"/>
          <w:lang w:eastAsia="ja-JP"/>
        </w:rPr>
        <w:t>[</w:t>
      </w:r>
      <w:r w:rsidR="00723960">
        <w:rPr>
          <w:rFonts w:eastAsia="MS Mincho"/>
          <w:lang w:eastAsia="ja-JP"/>
        </w:rPr>
        <w:t>5</w:t>
      </w:r>
      <w:r>
        <w:rPr>
          <w:rFonts w:eastAsia="MS Mincho"/>
          <w:lang w:eastAsia="ja-JP"/>
        </w:rPr>
        <w:t>]</w:t>
      </w:r>
      <w:r>
        <w:rPr>
          <w:rFonts w:eastAsia="MS Mincho"/>
          <w:lang w:eastAsia="ja-JP"/>
        </w:rPr>
        <w:fldChar w:fldCharType="end"/>
      </w:r>
      <w:r>
        <w:rPr>
          <w:rFonts w:eastAsia="MS Mincho"/>
          <w:lang w:eastAsia="ja-JP"/>
        </w:rPr>
        <w:t xml:space="preserve"> we analy</w:t>
      </w:r>
      <w:r w:rsidR="00A14C5B">
        <w:rPr>
          <w:rFonts w:eastAsia="MS Mincho"/>
          <w:lang w:eastAsia="ja-JP"/>
        </w:rPr>
        <w:t>se</w:t>
      </w:r>
      <w:r>
        <w:rPr>
          <w:rFonts w:eastAsia="MS Mincho"/>
          <w:lang w:eastAsia="ja-JP"/>
        </w:rPr>
        <w:t xml:space="preserve"> the IAB node timing options listed for further study, namely:</w:t>
      </w:r>
    </w:p>
    <w:p w14:paraId="6D58575F" w14:textId="77777777" w:rsidR="0013786F" w:rsidRPr="004357C3" w:rsidRDefault="0013786F" w:rsidP="00146678">
      <w:pPr>
        <w:pStyle w:val="ListParagraph"/>
        <w:numPr>
          <w:ilvl w:val="0"/>
          <w:numId w:val="49"/>
        </w:numPr>
        <w:spacing w:after="120"/>
        <w:rPr>
          <w:rFonts w:eastAsia="MS Mincho"/>
          <w:sz w:val="20"/>
          <w:szCs w:val="20"/>
          <w:lang w:val="en-GB" w:eastAsia="ja-JP"/>
        </w:rPr>
      </w:pPr>
      <w:r w:rsidRPr="004357C3">
        <w:rPr>
          <w:rFonts w:eastAsia="MS Mincho"/>
          <w:sz w:val="20"/>
          <w:szCs w:val="20"/>
          <w:lang w:val="en-GB" w:eastAsia="ja-JP"/>
        </w:rPr>
        <w:t>Case 1: DL transmission timing alignment across IAB nodes and donor nodes</w:t>
      </w:r>
    </w:p>
    <w:p w14:paraId="711CDC35" w14:textId="77777777" w:rsidR="0013786F" w:rsidRPr="004357C3" w:rsidRDefault="0013786F" w:rsidP="00146678">
      <w:pPr>
        <w:pStyle w:val="ListParagraph"/>
        <w:numPr>
          <w:ilvl w:val="0"/>
          <w:numId w:val="49"/>
        </w:numPr>
        <w:spacing w:after="120"/>
        <w:rPr>
          <w:rFonts w:eastAsia="MS Mincho"/>
          <w:sz w:val="20"/>
          <w:szCs w:val="20"/>
          <w:lang w:val="en-GB" w:eastAsia="ja-JP"/>
        </w:rPr>
      </w:pPr>
      <w:r w:rsidRPr="004357C3">
        <w:rPr>
          <w:rFonts w:eastAsia="MS Mincho"/>
          <w:sz w:val="20"/>
          <w:szCs w:val="20"/>
          <w:lang w:val="en-GB" w:eastAsia="ja-JP"/>
        </w:rPr>
        <w:t>Case 2: DL and UL transmission timing is aligned within an IAB node</w:t>
      </w:r>
    </w:p>
    <w:p w14:paraId="7B38D177" w14:textId="77777777" w:rsidR="0013786F" w:rsidRPr="004357C3" w:rsidRDefault="0013786F" w:rsidP="00146678">
      <w:pPr>
        <w:pStyle w:val="ListParagraph"/>
        <w:numPr>
          <w:ilvl w:val="0"/>
          <w:numId w:val="49"/>
        </w:numPr>
        <w:spacing w:after="120"/>
        <w:rPr>
          <w:rFonts w:eastAsia="MS Mincho"/>
          <w:sz w:val="20"/>
          <w:szCs w:val="20"/>
          <w:lang w:val="en-GB" w:eastAsia="ja-JP"/>
        </w:rPr>
      </w:pPr>
      <w:r w:rsidRPr="004357C3">
        <w:rPr>
          <w:rFonts w:eastAsia="MS Mincho"/>
          <w:sz w:val="20"/>
          <w:szCs w:val="20"/>
          <w:lang w:val="en-GB" w:eastAsia="ja-JP"/>
        </w:rPr>
        <w:t>Case 3: DL and UL reception timing is aligned within an IAB node</w:t>
      </w:r>
    </w:p>
    <w:p w14:paraId="4DC8B7F1" w14:textId="77777777" w:rsidR="0013786F" w:rsidRPr="004357C3" w:rsidRDefault="0013786F" w:rsidP="00146678">
      <w:pPr>
        <w:pStyle w:val="ListParagraph"/>
        <w:numPr>
          <w:ilvl w:val="0"/>
          <w:numId w:val="49"/>
        </w:numPr>
        <w:spacing w:after="120"/>
        <w:rPr>
          <w:rFonts w:eastAsia="MS Mincho"/>
          <w:sz w:val="20"/>
          <w:szCs w:val="20"/>
          <w:lang w:val="en-GB" w:eastAsia="ja-JP"/>
        </w:rPr>
      </w:pPr>
      <w:r w:rsidRPr="004357C3">
        <w:rPr>
          <w:rFonts w:eastAsia="MS Mincho"/>
          <w:sz w:val="20"/>
          <w:szCs w:val="20"/>
          <w:lang w:val="en-GB" w:eastAsia="ja-JP"/>
        </w:rPr>
        <w:t>Case 4: within an IAB node, when transmitting using case 2 while when receiving using case 3</w:t>
      </w:r>
    </w:p>
    <w:p w14:paraId="2845802E" w14:textId="77777777" w:rsidR="0013786F" w:rsidRPr="004357C3" w:rsidRDefault="0013786F" w:rsidP="00146678">
      <w:pPr>
        <w:pStyle w:val="ListParagraph"/>
        <w:numPr>
          <w:ilvl w:val="0"/>
          <w:numId w:val="49"/>
        </w:numPr>
        <w:spacing w:after="120"/>
        <w:rPr>
          <w:rFonts w:eastAsia="MS Mincho"/>
          <w:sz w:val="20"/>
          <w:szCs w:val="20"/>
          <w:lang w:val="en-GB" w:eastAsia="ja-JP"/>
        </w:rPr>
      </w:pPr>
      <w:r w:rsidRPr="004357C3">
        <w:rPr>
          <w:rFonts w:eastAsia="MS Mincho"/>
          <w:sz w:val="20"/>
          <w:szCs w:val="20"/>
          <w:lang w:val="en-GB" w:eastAsia="ja-JP"/>
        </w:rPr>
        <w:t>Case 5: Case 1 for access link timing and Case 4 for backhaul link timing within an IAB node in different time slots</w:t>
      </w:r>
    </w:p>
    <w:p w14:paraId="0D532035" w14:textId="77777777" w:rsidR="0013786F" w:rsidRDefault="0013786F" w:rsidP="00146678">
      <w:pPr>
        <w:spacing w:after="0"/>
        <w:rPr>
          <w:rFonts w:eastAsia="MS Mincho"/>
          <w:lang w:eastAsia="ja-JP"/>
        </w:rPr>
      </w:pPr>
      <w:r>
        <w:rPr>
          <w:rFonts w:eastAsia="MS Mincho"/>
          <w:lang w:eastAsia="ja-JP"/>
        </w:rPr>
        <w:t>Each option has its merits but also some drawbacks. The table below summarize the characteristics of the studied timing options:</w:t>
      </w:r>
    </w:p>
    <w:p w14:paraId="49074D45" w14:textId="77777777" w:rsidR="0013786F" w:rsidRDefault="0013786F" w:rsidP="0013786F">
      <w:pPr>
        <w:spacing w:after="0"/>
        <w:jc w:val="both"/>
        <w:rPr>
          <w:rFonts w:eastAsia="MS Mincho"/>
          <w:lang w:eastAsia="ja-JP"/>
        </w:rPr>
      </w:pPr>
    </w:p>
    <w:p w14:paraId="382C3CDD" w14:textId="5F87E9FE" w:rsidR="0013786F" w:rsidRPr="008B437F" w:rsidRDefault="0013786F" w:rsidP="00146678">
      <w:pPr>
        <w:spacing w:after="60"/>
        <w:jc w:val="center"/>
        <w:rPr>
          <w:rFonts w:eastAsia="MS Mincho"/>
          <w:b/>
          <w:lang w:eastAsia="ja-JP"/>
        </w:rPr>
      </w:pPr>
      <w:r w:rsidRPr="008B437F">
        <w:rPr>
          <w:rFonts w:eastAsia="MS Mincho"/>
          <w:b/>
          <w:lang w:eastAsia="ja-JP"/>
        </w:rPr>
        <w:t>Table 1</w:t>
      </w:r>
    </w:p>
    <w:tbl>
      <w:tblPr>
        <w:tblStyle w:val="TableGrid"/>
        <w:tblW w:w="9634" w:type="dxa"/>
        <w:tblLook w:val="04A0" w:firstRow="1" w:lastRow="0" w:firstColumn="1" w:lastColumn="0" w:noHBand="0" w:noVBand="1"/>
      </w:tblPr>
      <w:tblGrid>
        <w:gridCol w:w="605"/>
        <w:gridCol w:w="4370"/>
        <w:gridCol w:w="4659"/>
      </w:tblGrid>
      <w:tr w:rsidR="0013786F" w14:paraId="3F33B576" w14:textId="77777777" w:rsidTr="00773A52">
        <w:tc>
          <w:tcPr>
            <w:tcW w:w="562" w:type="dxa"/>
          </w:tcPr>
          <w:p w14:paraId="1427BA3D" w14:textId="77777777" w:rsidR="0013786F" w:rsidRDefault="0013786F" w:rsidP="00773A52">
            <w:pPr>
              <w:spacing w:after="0"/>
              <w:jc w:val="center"/>
              <w:rPr>
                <w:lang w:val="en-US"/>
              </w:rPr>
            </w:pPr>
            <w:r>
              <w:rPr>
                <w:lang w:val="en-US"/>
              </w:rPr>
              <w:t>Case</w:t>
            </w:r>
          </w:p>
        </w:tc>
        <w:tc>
          <w:tcPr>
            <w:tcW w:w="4395" w:type="dxa"/>
          </w:tcPr>
          <w:p w14:paraId="5320625E" w14:textId="77777777" w:rsidR="0013786F" w:rsidRDefault="0013786F" w:rsidP="00773A52">
            <w:pPr>
              <w:spacing w:after="0"/>
              <w:rPr>
                <w:lang w:val="en-US"/>
              </w:rPr>
            </w:pPr>
            <w:r>
              <w:rPr>
                <w:lang w:val="en-US"/>
              </w:rPr>
              <w:t>Benefits</w:t>
            </w:r>
          </w:p>
        </w:tc>
        <w:tc>
          <w:tcPr>
            <w:tcW w:w="4677" w:type="dxa"/>
          </w:tcPr>
          <w:p w14:paraId="1C6A906F" w14:textId="77777777" w:rsidR="0013786F" w:rsidRDefault="0013786F" w:rsidP="00773A52">
            <w:pPr>
              <w:spacing w:after="0"/>
              <w:rPr>
                <w:lang w:val="en-US"/>
              </w:rPr>
            </w:pPr>
            <w:r>
              <w:rPr>
                <w:lang w:val="en-US"/>
              </w:rPr>
              <w:t>Drawbacks</w:t>
            </w:r>
          </w:p>
        </w:tc>
      </w:tr>
      <w:tr w:rsidR="0013786F" w14:paraId="4A06A98C" w14:textId="77777777" w:rsidTr="00773A52">
        <w:tc>
          <w:tcPr>
            <w:tcW w:w="562" w:type="dxa"/>
          </w:tcPr>
          <w:p w14:paraId="3DC5401E" w14:textId="77777777" w:rsidR="0013786F" w:rsidRDefault="0013786F" w:rsidP="00773A52">
            <w:pPr>
              <w:spacing w:after="0"/>
              <w:jc w:val="center"/>
              <w:rPr>
                <w:lang w:val="en-US"/>
              </w:rPr>
            </w:pPr>
            <w:r>
              <w:rPr>
                <w:lang w:val="en-US"/>
              </w:rPr>
              <w:t>#1</w:t>
            </w:r>
          </w:p>
        </w:tc>
        <w:tc>
          <w:tcPr>
            <w:tcW w:w="4395" w:type="dxa"/>
          </w:tcPr>
          <w:p w14:paraId="533986FB" w14:textId="77777777" w:rsidR="0013786F" w:rsidRPr="0045097F" w:rsidRDefault="0013786F" w:rsidP="00773A52">
            <w:pPr>
              <w:spacing w:after="0"/>
              <w:rPr>
                <w:lang w:val="en-US"/>
              </w:rPr>
            </w:pPr>
            <w:r w:rsidRPr="0045097F">
              <w:rPr>
                <w:lang w:val="en-US"/>
              </w:rPr>
              <w:t>-</w:t>
            </w:r>
            <w:r w:rsidRPr="0045097F">
              <w:rPr>
                <w:lang w:val="en-US"/>
              </w:rPr>
              <w:tab/>
              <w:t>Results in normal cellular operation with non-IAB specific interference scenarios</w:t>
            </w:r>
          </w:p>
          <w:p w14:paraId="60FC1AFB" w14:textId="77777777" w:rsidR="0013786F" w:rsidRPr="0045097F" w:rsidRDefault="0013786F" w:rsidP="00773A52">
            <w:pPr>
              <w:spacing w:after="0"/>
              <w:rPr>
                <w:lang w:val="en-US"/>
              </w:rPr>
            </w:pPr>
            <w:r w:rsidRPr="0045097F">
              <w:rPr>
                <w:lang w:val="en-US"/>
              </w:rPr>
              <w:t>-</w:t>
            </w:r>
            <w:r w:rsidRPr="0045097F">
              <w:rPr>
                <w:lang w:val="en-US"/>
              </w:rPr>
              <w:tab/>
              <w:t>IAB timing is not shifted in a multi-hop scenario, DL TX timing the same in all nodes</w:t>
            </w:r>
          </w:p>
          <w:p w14:paraId="42A3FA2E" w14:textId="77777777" w:rsidR="0013786F" w:rsidRDefault="0013786F" w:rsidP="00773A52">
            <w:pPr>
              <w:spacing w:after="0"/>
              <w:rPr>
                <w:lang w:val="en-US"/>
              </w:rPr>
            </w:pPr>
            <w:r w:rsidRPr="0045097F">
              <w:rPr>
                <w:lang w:val="en-US"/>
              </w:rPr>
              <w:t>-</w:t>
            </w:r>
            <w:r w:rsidRPr="0045097F">
              <w:rPr>
                <w:lang w:val="en-US"/>
              </w:rPr>
              <w:tab/>
              <w:t>Minimized changes when IAB operation changed to gNB (when wired BH provided)</w:t>
            </w:r>
          </w:p>
        </w:tc>
        <w:tc>
          <w:tcPr>
            <w:tcW w:w="4677" w:type="dxa"/>
          </w:tcPr>
          <w:p w14:paraId="27C19F3D" w14:textId="77777777" w:rsidR="0013786F" w:rsidRDefault="0013786F" w:rsidP="00773A52">
            <w:pPr>
              <w:spacing w:after="0"/>
              <w:rPr>
                <w:lang w:val="en-US"/>
              </w:rPr>
            </w:pPr>
            <w:r w:rsidRPr="0045097F">
              <w:rPr>
                <w:lang w:val="en-US"/>
              </w:rPr>
              <w:t>-</w:t>
            </w:r>
            <w:r w:rsidRPr="0045097F">
              <w:rPr>
                <w:lang w:val="en-US"/>
              </w:rPr>
              <w:tab/>
              <w:t>Potential IAB node internal interference issues due to multiple timing, this may be alleviated</w:t>
            </w:r>
            <w:r>
              <w:rPr>
                <w:lang w:val="en-US"/>
              </w:rPr>
              <w:t xml:space="preserve"> by the usage of multiple antenna panels and/or RX/TX units</w:t>
            </w:r>
          </w:p>
        </w:tc>
      </w:tr>
      <w:tr w:rsidR="0013786F" w14:paraId="7E8D2EB3" w14:textId="77777777" w:rsidTr="00773A52">
        <w:tc>
          <w:tcPr>
            <w:tcW w:w="562" w:type="dxa"/>
          </w:tcPr>
          <w:p w14:paraId="7CA33726" w14:textId="77777777" w:rsidR="0013786F" w:rsidRDefault="0013786F" w:rsidP="00773A52">
            <w:pPr>
              <w:spacing w:after="0"/>
              <w:jc w:val="center"/>
              <w:rPr>
                <w:lang w:val="en-US"/>
              </w:rPr>
            </w:pPr>
            <w:r>
              <w:rPr>
                <w:lang w:val="en-US"/>
              </w:rPr>
              <w:t>#2</w:t>
            </w:r>
          </w:p>
        </w:tc>
        <w:tc>
          <w:tcPr>
            <w:tcW w:w="4395" w:type="dxa"/>
          </w:tcPr>
          <w:p w14:paraId="1C879E19" w14:textId="77777777" w:rsidR="0013786F" w:rsidRPr="0045097F" w:rsidRDefault="0013786F" w:rsidP="00773A52">
            <w:pPr>
              <w:spacing w:after="0"/>
              <w:rPr>
                <w:lang w:val="en-US"/>
              </w:rPr>
            </w:pPr>
            <w:r w:rsidRPr="0045097F">
              <w:rPr>
                <w:lang w:val="en-US"/>
              </w:rPr>
              <w:t>-</w:t>
            </w:r>
            <w:r w:rsidRPr="0045097F">
              <w:rPr>
                <w:lang w:val="en-US"/>
              </w:rPr>
              <w:tab/>
              <w:t>Facilitates single panel TX and scheduling for both BH and access</w:t>
            </w:r>
          </w:p>
          <w:p w14:paraId="19C8F123" w14:textId="77777777" w:rsidR="0013786F" w:rsidRPr="0045097F" w:rsidRDefault="0013786F" w:rsidP="00773A52">
            <w:pPr>
              <w:spacing w:after="0"/>
              <w:ind w:left="284"/>
              <w:rPr>
                <w:lang w:val="en-US"/>
              </w:rPr>
            </w:pPr>
            <w:r w:rsidRPr="0045097F">
              <w:rPr>
                <w:lang w:val="en-US"/>
              </w:rPr>
              <w:t>o</w:t>
            </w:r>
            <w:r w:rsidRPr="0045097F">
              <w:rPr>
                <w:lang w:val="en-US"/>
              </w:rPr>
              <w:tab/>
              <w:t>Signal dynamics to be considered, though</w:t>
            </w:r>
          </w:p>
          <w:p w14:paraId="4CD78D34" w14:textId="77777777" w:rsidR="0013786F" w:rsidRDefault="0013786F" w:rsidP="00773A52">
            <w:pPr>
              <w:spacing w:after="0"/>
              <w:rPr>
                <w:lang w:val="en-US"/>
              </w:rPr>
            </w:pPr>
            <w:r w:rsidRPr="0045097F">
              <w:rPr>
                <w:lang w:val="en-US"/>
              </w:rPr>
              <w:t>-</w:t>
            </w:r>
            <w:r w:rsidRPr="0045097F">
              <w:rPr>
                <w:lang w:val="en-US"/>
              </w:rPr>
              <w:tab/>
              <w:t>Somewhat simpler implementation of an IAB node</w:t>
            </w:r>
          </w:p>
        </w:tc>
        <w:tc>
          <w:tcPr>
            <w:tcW w:w="4677" w:type="dxa"/>
          </w:tcPr>
          <w:p w14:paraId="0450D44B" w14:textId="77777777" w:rsidR="0013786F" w:rsidRPr="0045097F" w:rsidRDefault="0013786F" w:rsidP="00773A52">
            <w:pPr>
              <w:spacing w:after="0"/>
              <w:rPr>
                <w:lang w:val="en-US"/>
              </w:rPr>
            </w:pPr>
            <w:r w:rsidRPr="0045097F">
              <w:rPr>
                <w:lang w:val="en-US"/>
              </w:rPr>
              <w:t>-</w:t>
            </w:r>
            <w:r w:rsidRPr="0045097F">
              <w:rPr>
                <w:lang w:val="en-US"/>
              </w:rPr>
              <w:tab/>
              <w:t>For the access UEs, network cannot be viewed as synchronized; DL TX timing depends on the propagation delay over the BH link</w:t>
            </w:r>
          </w:p>
          <w:p w14:paraId="2BECF0E7" w14:textId="77777777" w:rsidR="0013786F" w:rsidRPr="0045097F" w:rsidRDefault="0013786F" w:rsidP="00773A52">
            <w:pPr>
              <w:spacing w:after="0"/>
              <w:rPr>
                <w:lang w:val="en-US"/>
              </w:rPr>
            </w:pPr>
            <w:r w:rsidRPr="0045097F">
              <w:rPr>
                <w:lang w:val="en-US"/>
              </w:rPr>
              <w:t>-</w:t>
            </w:r>
            <w:r w:rsidRPr="0045097F">
              <w:rPr>
                <w:lang w:val="en-US"/>
              </w:rPr>
              <w:tab/>
              <w:t>Timing is shifted at each hop where the shift is an accumulated value of the propagation delay over all hops</w:t>
            </w:r>
          </w:p>
          <w:p w14:paraId="3BE2957A" w14:textId="77777777" w:rsidR="0013786F" w:rsidRDefault="0013786F" w:rsidP="00773A52">
            <w:pPr>
              <w:spacing w:after="0"/>
              <w:rPr>
                <w:lang w:val="en-US"/>
              </w:rPr>
            </w:pPr>
            <w:r w:rsidRPr="0045097F">
              <w:rPr>
                <w:lang w:val="en-US"/>
              </w:rPr>
              <w:t>-</w:t>
            </w:r>
            <w:r w:rsidRPr="0045097F">
              <w:rPr>
                <w:lang w:val="en-US"/>
              </w:rPr>
              <w:tab/>
              <w:t>More complex implementation/configuration of dual connectivity when the serving nodes are of different hierarchy level of the IAB topology (different number of hops)</w:t>
            </w:r>
          </w:p>
        </w:tc>
      </w:tr>
      <w:tr w:rsidR="0013786F" w14:paraId="209234C9" w14:textId="77777777" w:rsidTr="00773A52">
        <w:tc>
          <w:tcPr>
            <w:tcW w:w="562" w:type="dxa"/>
          </w:tcPr>
          <w:p w14:paraId="094590E0" w14:textId="77777777" w:rsidR="0013786F" w:rsidRDefault="0013786F" w:rsidP="00773A52">
            <w:pPr>
              <w:spacing w:after="0"/>
              <w:jc w:val="center"/>
              <w:rPr>
                <w:lang w:val="en-US"/>
              </w:rPr>
            </w:pPr>
            <w:r>
              <w:rPr>
                <w:lang w:val="en-US"/>
              </w:rPr>
              <w:t>#3</w:t>
            </w:r>
          </w:p>
        </w:tc>
        <w:tc>
          <w:tcPr>
            <w:tcW w:w="4395" w:type="dxa"/>
          </w:tcPr>
          <w:p w14:paraId="4CD3A0FD" w14:textId="77777777" w:rsidR="0013786F" w:rsidRDefault="0013786F" w:rsidP="00773A52">
            <w:pPr>
              <w:spacing w:after="0"/>
              <w:rPr>
                <w:lang w:val="en-US"/>
              </w:rPr>
            </w:pPr>
            <w:r w:rsidRPr="0045097F">
              <w:rPr>
                <w:lang w:val="en-US"/>
              </w:rPr>
              <w:t>-</w:t>
            </w:r>
            <w:r w:rsidRPr="0045097F">
              <w:rPr>
                <w:lang w:val="en-US"/>
              </w:rPr>
              <w:tab/>
              <w:t>Eliminates excessive interference due to timing differences on access and BH links; e.g. when the difference exceeds the CP length. Differences in the signal levels may have to be considered, though.</w:t>
            </w:r>
          </w:p>
        </w:tc>
        <w:tc>
          <w:tcPr>
            <w:tcW w:w="4677" w:type="dxa"/>
          </w:tcPr>
          <w:p w14:paraId="6DD3EBEA" w14:textId="77777777" w:rsidR="0013786F" w:rsidRDefault="0013786F" w:rsidP="00773A52">
            <w:pPr>
              <w:spacing w:after="0"/>
              <w:rPr>
                <w:lang w:val="en-US"/>
              </w:rPr>
            </w:pPr>
            <w:r w:rsidRPr="0045097F">
              <w:rPr>
                <w:lang w:val="en-US"/>
              </w:rPr>
              <w:t>-</w:t>
            </w:r>
            <w:r w:rsidRPr="0045097F">
              <w:rPr>
                <w:lang w:val="en-US"/>
              </w:rPr>
              <w:tab/>
            </w:r>
            <w:r>
              <w:rPr>
                <w:lang w:val="en-US"/>
              </w:rPr>
              <w:t>Would allow alignment of DL TX but would require usage of negative TA values</w:t>
            </w:r>
          </w:p>
          <w:p w14:paraId="760E6053" w14:textId="77777777" w:rsidR="0013786F" w:rsidRDefault="0013786F" w:rsidP="00773A52">
            <w:pPr>
              <w:spacing w:after="0"/>
              <w:rPr>
                <w:lang w:val="en-US"/>
              </w:rPr>
            </w:pPr>
            <w:r>
              <w:rPr>
                <w:lang w:val="en-US"/>
              </w:rPr>
              <w:t>-  In non-synchronous operation, same issues as in case 2.</w:t>
            </w:r>
          </w:p>
        </w:tc>
      </w:tr>
      <w:tr w:rsidR="0013786F" w14:paraId="244DD70D" w14:textId="77777777" w:rsidTr="00773A52">
        <w:tc>
          <w:tcPr>
            <w:tcW w:w="562" w:type="dxa"/>
          </w:tcPr>
          <w:p w14:paraId="23FFB466" w14:textId="77777777" w:rsidR="0013786F" w:rsidRDefault="0013786F" w:rsidP="00773A52">
            <w:pPr>
              <w:spacing w:after="0"/>
              <w:jc w:val="center"/>
              <w:rPr>
                <w:lang w:val="en-US"/>
              </w:rPr>
            </w:pPr>
            <w:r>
              <w:rPr>
                <w:lang w:val="en-US"/>
              </w:rPr>
              <w:t>#4</w:t>
            </w:r>
          </w:p>
        </w:tc>
        <w:tc>
          <w:tcPr>
            <w:tcW w:w="4395" w:type="dxa"/>
          </w:tcPr>
          <w:p w14:paraId="23B87B6F" w14:textId="77777777" w:rsidR="0013786F" w:rsidRDefault="0013786F" w:rsidP="00773A52">
            <w:pPr>
              <w:spacing w:after="0"/>
              <w:rPr>
                <w:lang w:val="en-US"/>
              </w:rPr>
            </w:pPr>
            <w:r w:rsidRPr="0045097F">
              <w:rPr>
                <w:lang w:val="en-US"/>
              </w:rPr>
              <w:t>-</w:t>
            </w:r>
            <w:r w:rsidRPr="0045097F">
              <w:rPr>
                <w:lang w:val="en-US"/>
              </w:rPr>
              <w:tab/>
              <w:t>Single timing for TX an RX within the IAB node (except random access)</w:t>
            </w:r>
          </w:p>
        </w:tc>
        <w:tc>
          <w:tcPr>
            <w:tcW w:w="4677" w:type="dxa"/>
          </w:tcPr>
          <w:p w14:paraId="776404A6" w14:textId="77777777" w:rsidR="0013786F" w:rsidRPr="0045097F" w:rsidRDefault="0013786F" w:rsidP="00773A52">
            <w:pPr>
              <w:spacing w:after="0"/>
              <w:rPr>
                <w:lang w:val="en-US"/>
              </w:rPr>
            </w:pPr>
            <w:r>
              <w:rPr>
                <w:lang w:val="en-US"/>
              </w:rPr>
              <w:t>-</w:t>
            </w:r>
            <w:r>
              <w:rPr>
                <w:lang w:val="en-US"/>
              </w:rPr>
              <w:tab/>
              <w:t>Requires</w:t>
            </w:r>
            <w:r w:rsidRPr="0045097F">
              <w:rPr>
                <w:lang w:val="en-US"/>
              </w:rPr>
              <w:t xml:space="preserve"> negative TA cannot be applied for random access</w:t>
            </w:r>
          </w:p>
          <w:p w14:paraId="53133E67" w14:textId="77777777" w:rsidR="0013786F" w:rsidRDefault="0013786F" w:rsidP="00773A52">
            <w:pPr>
              <w:spacing w:after="0"/>
              <w:rPr>
                <w:lang w:val="en-US"/>
              </w:rPr>
            </w:pPr>
            <w:r w:rsidRPr="0045097F">
              <w:rPr>
                <w:lang w:val="en-US"/>
              </w:rPr>
              <w:t>-</w:t>
            </w:r>
            <w:r w:rsidRPr="0045097F">
              <w:rPr>
                <w:lang w:val="en-US"/>
              </w:rPr>
              <w:tab/>
              <w:t>Otherwise same issues as with cases 2 and 3</w:t>
            </w:r>
          </w:p>
        </w:tc>
      </w:tr>
      <w:tr w:rsidR="0013786F" w14:paraId="38FC6E21" w14:textId="77777777" w:rsidTr="00773A52">
        <w:tc>
          <w:tcPr>
            <w:tcW w:w="562" w:type="dxa"/>
          </w:tcPr>
          <w:p w14:paraId="593FDB33" w14:textId="77777777" w:rsidR="0013786F" w:rsidRDefault="0013786F" w:rsidP="00773A52">
            <w:pPr>
              <w:spacing w:after="0"/>
              <w:jc w:val="center"/>
              <w:rPr>
                <w:lang w:val="en-US"/>
              </w:rPr>
            </w:pPr>
            <w:r>
              <w:rPr>
                <w:lang w:val="en-US"/>
              </w:rPr>
              <w:t>#5</w:t>
            </w:r>
          </w:p>
        </w:tc>
        <w:tc>
          <w:tcPr>
            <w:tcW w:w="4395" w:type="dxa"/>
          </w:tcPr>
          <w:p w14:paraId="01C90654" w14:textId="77777777" w:rsidR="0013786F" w:rsidRPr="00CD3CBE" w:rsidRDefault="0013786F" w:rsidP="00773A52">
            <w:pPr>
              <w:spacing w:after="0"/>
              <w:rPr>
                <w:lang w:val="en-US"/>
              </w:rPr>
            </w:pPr>
            <w:r w:rsidRPr="00CD3CBE">
              <w:rPr>
                <w:lang w:val="en-US"/>
              </w:rPr>
              <w:t>-</w:t>
            </w:r>
            <w:r w:rsidRPr="00CD3CBE">
              <w:rPr>
                <w:lang w:val="en-US"/>
              </w:rPr>
              <w:tab/>
              <w:t>Synchronized network form the UE point of view, also in a multi-hop scenario</w:t>
            </w:r>
          </w:p>
          <w:p w14:paraId="18046CFB" w14:textId="77777777" w:rsidR="0013786F" w:rsidRDefault="0013786F" w:rsidP="00773A52">
            <w:pPr>
              <w:spacing w:after="0"/>
              <w:rPr>
                <w:lang w:val="en-US"/>
              </w:rPr>
            </w:pPr>
            <w:r w:rsidRPr="00CD3CBE">
              <w:rPr>
                <w:lang w:val="en-US"/>
              </w:rPr>
              <w:t>-</w:t>
            </w:r>
            <w:r w:rsidRPr="00CD3CBE">
              <w:rPr>
                <w:lang w:val="en-US"/>
              </w:rPr>
              <w:tab/>
              <w:t>Different TX and RX timing separated in time at the IAB node, some implementation and interference issues eliminated</w:t>
            </w:r>
          </w:p>
        </w:tc>
        <w:tc>
          <w:tcPr>
            <w:tcW w:w="4677" w:type="dxa"/>
          </w:tcPr>
          <w:p w14:paraId="7CD58FF5" w14:textId="77777777" w:rsidR="0013786F" w:rsidRDefault="0013786F" w:rsidP="00773A52">
            <w:pPr>
              <w:spacing w:after="0"/>
              <w:rPr>
                <w:lang w:val="en-US"/>
              </w:rPr>
            </w:pPr>
            <w:r w:rsidRPr="00CD3CBE">
              <w:rPr>
                <w:lang w:val="en-US"/>
              </w:rPr>
              <w:t>-</w:t>
            </w:r>
            <w:r w:rsidRPr="00CD3CBE">
              <w:rPr>
                <w:lang w:val="en-US"/>
              </w:rPr>
              <w:tab/>
            </w:r>
            <w:r>
              <w:rPr>
                <w:lang w:val="en-US"/>
              </w:rPr>
              <w:t>Same as with case#1</w:t>
            </w:r>
          </w:p>
          <w:p w14:paraId="28009261" w14:textId="77777777" w:rsidR="0013786F" w:rsidRDefault="0013786F" w:rsidP="00773A52">
            <w:pPr>
              <w:spacing w:after="0"/>
              <w:rPr>
                <w:lang w:val="en-US"/>
              </w:rPr>
            </w:pPr>
          </w:p>
        </w:tc>
      </w:tr>
    </w:tbl>
    <w:p w14:paraId="4719A820" w14:textId="77777777" w:rsidR="0013786F" w:rsidRDefault="0013786F" w:rsidP="0013786F">
      <w:pPr>
        <w:spacing w:after="0"/>
        <w:jc w:val="both"/>
        <w:rPr>
          <w:rFonts w:eastAsia="MS Mincho"/>
          <w:lang w:eastAsia="ja-JP"/>
        </w:rPr>
      </w:pPr>
    </w:p>
    <w:p w14:paraId="3E53C00C" w14:textId="77777777" w:rsidR="0013786F" w:rsidRDefault="0013786F" w:rsidP="0013786F">
      <w:pPr>
        <w:spacing w:after="0"/>
        <w:jc w:val="both"/>
        <w:rPr>
          <w:rFonts w:eastAsia="MS Mincho"/>
          <w:lang w:eastAsia="ja-JP"/>
        </w:rPr>
      </w:pPr>
    </w:p>
    <w:p w14:paraId="2DFB5FD5" w14:textId="77777777" w:rsidR="0013786F" w:rsidRDefault="0013786F" w:rsidP="00146678">
      <w:pPr>
        <w:spacing w:after="120"/>
        <w:jc w:val="both"/>
        <w:rPr>
          <w:lang w:val="en-US"/>
        </w:rPr>
      </w:pPr>
      <w:r>
        <w:rPr>
          <w:lang w:val="en-US"/>
        </w:rPr>
        <w:t>As a conclusion, we see approaches leading to synchronized network as the prioritized choices for IAB operation being most forward compatible regarding future enhancements for flexible TDD and CLI mitigation. Furthermore, conversion of IAB node to normal gNB operation would cause least changes.</w:t>
      </w:r>
    </w:p>
    <w:p w14:paraId="1F982F32" w14:textId="77777777" w:rsidR="0013786F" w:rsidRDefault="0013786F" w:rsidP="00146678">
      <w:pPr>
        <w:spacing w:after="120"/>
        <w:jc w:val="both"/>
        <w:rPr>
          <w:lang w:val="en-US"/>
        </w:rPr>
      </w:pPr>
      <w:r>
        <w:rPr>
          <w:lang w:val="en-US"/>
        </w:rPr>
        <w:t>Additionally, it is not clear whether there has to be any standards support that would be needed for different timing options or can this be left for implementation options and vendor/operator choice for IAB operation and deployment.</w:t>
      </w:r>
    </w:p>
    <w:p w14:paraId="2C574936" w14:textId="6CEAAD37" w:rsidR="0013786F" w:rsidRPr="00146678" w:rsidRDefault="0013786F" w:rsidP="0013786F">
      <w:pPr>
        <w:spacing w:after="120"/>
        <w:jc w:val="both"/>
        <w:rPr>
          <w:b/>
          <w:i/>
          <w:lang w:val="en-US"/>
        </w:rPr>
      </w:pPr>
      <w:r w:rsidRPr="00146678">
        <w:rPr>
          <w:b/>
          <w:i/>
          <w:lang w:val="en-US"/>
        </w:rPr>
        <w:t xml:space="preserve">Proposal </w:t>
      </w:r>
      <w:r w:rsidR="00146678" w:rsidRPr="00146678">
        <w:rPr>
          <w:b/>
          <w:i/>
          <w:lang w:val="en-US"/>
        </w:rPr>
        <w:t>7</w:t>
      </w:r>
      <w:r w:rsidRPr="00146678">
        <w:rPr>
          <w:b/>
          <w:i/>
          <w:lang w:val="en-US"/>
        </w:rPr>
        <w:t>: It should be clarified whether there will be standard impacts related to use of different timing options or could they be left for implementation options.</w:t>
      </w:r>
    </w:p>
    <w:p w14:paraId="582B771B" w14:textId="58986DFA" w:rsidR="008B062B" w:rsidRPr="00146678" w:rsidRDefault="0013786F" w:rsidP="1ED4170D">
      <w:pPr>
        <w:spacing w:after="120"/>
        <w:jc w:val="both"/>
        <w:rPr>
          <w:rFonts w:eastAsia="MS Mincho"/>
          <w:b/>
          <w:i/>
          <w:lang w:val="en-US" w:eastAsia="ja-JP"/>
        </w:rPr>
      </w:pPr>
      <w:r w:rsidRPr="00146678">
        <w:rPr>
          <w:b/>
          <w:i/>
          <w:lang w:val="en-US"/>
        </w:rPr>
        <w:t xml:space="preserve">Proposal </w:t>
      </w:r>
      <w:r w:rsidR="00146678" w:rsidRPr="00146678">
        <w:rPr>
          <w:b/>
          <w:i/>
          <w:lang w:val="en-US"/>
        </w:rPr>
        <w:t>8</w:t>
      </w:r>
      <w:r w:rsidRPr="00146678">
        <w:rPr>
          <w:b/>
          <w:i/>
          <w:lang w:val="en-US"/>
        </w:rPr>
        <w:t>: Options leading to synchronized network can be taken as a baseline for IAB operation and deployment. The other options can be left for later studies and/or choices for implementation.</w:t>
      </w:r>
      <w:bookmarkStart w:id="1" w:name="_GoBack"/>
      <w:bookmarkEnd w:id="1"/>
    </w:p>
    <w:p w14:paraId="358C77C1" w14:textId="0CC845EF" w:rsidR="00581E73" w:rsidRDefault="00581E73" w:rsidP="008A215D">
      <w:pPr>
        <w:spacing w:after="0"/>
        <w:jc w:val="both"/>
        <w:rPr>
          <w:rFonts w:eastAsia="MS Mincho"/>
          <w:lang w:eastAsia="ja-JP"/>
        </w:rPr>
      </w:pPr>
    </w:p>
    <w:p w14:paraId="0D827FAF" w14:textId="6E9EC3AB" w:rsidR="0034111C" w:rsidRPr="00A51522" w:rsidRDefault="005E7117" w:rsidP="1ED4170D">
      <w:pPr>
        <w:pStyle w:val="Heading1"/>
        <w:rPr>
          <w:color w:val="000000" w:themeColor="text1"/>
        </w:rPr>
      </w:pPr>
      <w:r>
        <w:rPr>
          <w:color w:val="000000"/>
        </w:rPr>
        <w:t>3</w:t>
      </w:r>
      <w:r w:rsidR="0034111C" w:rsidRPr="00A51522">
        <w:rPr>
          <w:color w:val="000000"/>
        </w:rPr>
        <w:tab/>
      </w:r>
      <w:r w:rsidR="00EE7FA7" w:rsidRPr="00A51522">
        <w:rPr>
          <w:color w:val="000000"/>
        </w:rPr>
        <w:t>Conclusion</w:t>
      </w:r>
      <w:r w:rsidR="00DB39D4" w:rsidRPr="00A51522">
        <w:rPr>
          <w:color w:val="000000"/>
        </w:rPr>
        <w:t>s</w:t>
      </w:r>
    </w:p>
    <w:p w14:paraId="7D43B03D" w14:textId="6A4B0920" w:rsidR="00377DED" w:rsidRDefault="1ED4170D" w:rsidP="008A215D">
      <w:pPr>
        <w:spacing w:after="120"/>
        <w:jc w:val="both"/>
        <w:rPr>
          <w:bCs/>
        </w:rPr>
      </w:pPr>
      <w:r>
        <w:t>In this contribution we have discussed areas that need specific attention on lower layer studies of the IAB SI. Main observations and proposals we have are:</w:t>
      </w:r>
    </w:p>
    <w:p w14:paraId="5CA23E8B" w14:textId="77777777" w:rsidR="00146678" w:rsidRPr="00470F28" w:rsidRDefault="00146678" w:rsidP="00A14C5B">
      <w:pPr>
        <w:spacing w:after="0" w:line="360" w:lineRule="auto"/>
        <w:jc w:val="both"/>
        <w:rPr>
          <w:b/>
          <w:bCs/>
          <w:i/>
          <w:iCs/>
        </w:rPr>
      </w:pPr>
      <w:r w:rsidRPr="00470F28">
        <w:rPr>
          <w:b/>
          <w:bCs/>
          <w:i/>
          <w:iCs/>
        </w:rPr>
        <w:t xml:space="preserve">Observation 1: IAB node discovery can be handled by (access UE) SSB search in the initial access, followed by CSI-RS detection in later phases. </w:t>
      </w:r>
    </w:p>
    <w:p w14:paraId="38DB1297" w14:textId="77777777" w:rsidR="00146678" w:rsidRPr="00470F28" w:rsidRDefault="00146678" w:rsidP="00A14C5B">
      <w:pPr>
        <w:spacing w:after="0" w:line="360" w:lineRule="auto"/>
        <w:jc w:val="both"/>
        <w:rPr>
          <w:b/>
          <w:bCs/>
          <w:i/>
          <w:iCs/>
        </w:rPr>
      </w:pPr>
      <w:r w:rsidRPr="00470F28">
        <w:rPr>
          <w:b/>
          <w:bCs/>
          <w:i/>
          <w:iCs/>
        </w:rPr>
        <w:t xml:space="preserve">Observation 2: </w:t>
      </w:r>
      <m:oMath>
        <m:d>
          <m:dPr>
            <m:ctrlPr>
              <w:rPr>
                <w:rFonts w:ascii="Cambria Math" w:hAnsi="Cambria Math"/>
                <w:b/>
                <w:i/>
              </w:rPr>
            </m:ctrlPr>
          </m:dPr>
          <m:e>
            <m:f>
              <m:fPr>
                <m:type m:val="noBar"/>
                <m:ctrlPr>
                  <w:rPr>
                    <w:rFonts w:ascii="Cambria Math" w:hAnsi="Cambria Math"/>
                    <w:b/>
                    <w:i/>
                  </w:rPr>
                </m:ctrlPr>
              </m:fPr>
              <m:num>
                <m:r>
                  <m:rPr>
                    <m:sty m:val="bi"/>
                  </m:rPr>
                  <w:rPr>
                    <w:rFonts w:ascii="Cambria Math" w:hAnsi="Cambria Math"/>
                  </w:rPr>
                  <m:t>N</m:t>
                </m:r>
              </m:num>
              <m:den>
                <m:r>
                  <m:rPr>
                    <m:sty m:val="bi"/>
                  </m:rPr>
                  <w:rPr>
                    <w:rFonts w:ascii="Cambria Math" w:hAnsi="Cambria Math"/>
                  </w:rPr>
                  <m:t>M</m:t>
                </m:r>
              </m:den>
            </m:f>
          </m:e>
        </m:d>
      </m:oMath>
      <w:r w:rsidRPr="00470F28">
        <w:rPr>
          <w:b/>
          <w:bCs/>
          <w:i/>
          <w:iCs/>
        </w:rPr>
        <w:t xml:space="preserve">-patterns for IAB SSB TX-RX would provide discovery opportunities for a group of IAB nodes within a fixed number of SSB set TX/RX windows but co-ordination for pattern reuse would be needed.    </w:t>
      </w:r>
    </w:p>
    <w:p w14:paraId="4764FDE0" w14:textId="77777777" w:rsidR="00146678" w:rsidRPr="00470F28" w:rsidRDefault="00146678" w:rsidP="00A14C5B">
      <w:pPr>
        <w:spacing w:after="0" w:line="360" w:lineRule="auto"/>
        <w:jc w:val="both"/>
        <w:rPr>
          <w:b/>
          <w:bCs/>
        </w:rPr>
      </w:pPr>
      <w:r w:rsidRPr="00470F28">
        <w:rPr>
          <w:b/>
          <w:bCs/>
          <w:i/>
          <w:iCs/>
        </w:rPr>
        <w:t>Observation 3: From access UEs’ point of view, IAB SSBs could be handled the same way as access UE SSBs that are not connected to SIB1</w:t>
      </w:r>
      <w:r w:rsidRPr="00470F28">
        <w:rPr>
          <w:b/>
          <w:bCs/>
        </w:rPr>
        <w:t xml:space="preserve">.        </w:t>
      </w:r>
    </w:p>
    <w:p w14:paraId="086C5E1C" w14:textId="77777777" w:rsidR="00146678" w:rsidRPr="00470F28" w:rsidRDefault="00146678" w:rsidP="00A14C5B">
      <w:pPr>
        <w:spacing w:after="0" w:line="360" w:lineRule="auto"/>
        <w:jc w:val="both"/>
        <w:rPr>
          <w:b/>
          <w:bCs/>
          <w:i/>
          <w:iCs/>
        </w:rPr>
      </w:pPr>
      <w:r w:rsidRPr="00470F28">
        <w:rPr>
          <w:b/>
          <w:bCs/>
          <w:i/>
          <w:iCs/>
        </w:rPr>
        <w:t xml:space="preserve">Observation </w:t>
      </w:r>
      <w:r>
        <w:rPr>
          <w:b/>
          <w:bCs/>
          <w:i/>
          <w:iCs/>
        </w:rPr>
        <w:t>4</w:t>
      </w:r>
      <w:r w:rsidRPr="00470F28">
        <w:rPr>
          <w:b/>
          <w:bCs/>
          <w:i/>
          <w:iCs/>
        </w:rPr>
        <w:t xml:space="preserve">: CSI-RS based IAB link monitoring of candidate links can be done like UE measurements for mobility except that the maximum periodicity could be larger for IAB. </w:t>
      </w:r>
    </w:p>
    <w:p w14:paraId="0E1A0602" w14:textId="77777777" w:rsidR="00146678" w:rsidRDefault="00146678" w:rsidP="00A14C5B">
      <w:pPr>
        <w:pStyle w:val="paragraph"/>
        <w:spacing w:line="360" w:lineRule="auto"/>
        <w:jc w:val="both"/>
        <w:textAlignment w:val="baseline"/>
        <w:rPr>
          <w:rStyle w:val="normaltextrun1"/>
          <w:b/>
          <w:bCs/>
          <w:i/>
          <w:iCs/>
          <w:sz w:val="20"/>
          <w:szCs w:val="20"/>
          <w:lang w:val="en-US"/>
        </w:rPr>
      </w:pPr>
      <w:r w:rsidRPr="1ED4170D">
        <w:rPr>
          <w:rStyle w:val="normaltextrun1"/>
          <w:b/>
          <w:bCs/>
          <w:i/>
          <w:iCs/>
          <w:sz w:val="20"/>
          <w:szCs w:val="20"/>
          <w:lang w:val="en-US"/>
        </w:rPr>
        <w:t xml:space="preserve">Observation </w:t>
      </w:r>
      <w:r>
        <w:rPr>
          <w:rStyle w:val="normaltextrun1"/>
          <w:b/>
          <w:bCs/>
          <w:i/>
          <w:iCs/>
          <w:sz w:val="20"/>
          <w:szCs w:val="20"/>
          <w:lang w:val="en-US"/>
        </w:rPr>
        <w:t>5</w:t>
      </w:r>
      <w:r w:rsidRPr="1ED4170D">
        <w:rPr>
          <w:rStyle w:val="normaltextrun1"/>
          <w:b/>
          <w:bCs/>
          <w:i/>
          <w:iCs/>
          <w:sz w:val="20"/>
          <w:szCs w:val="20"/>
          <w:lang w:val="en-US"/>
        </w:rPr>
        <w:t>: Resource allocation schemes developed for different access link scenarios can be reused for BH link.</w:t>
      </w:r>
    </w:p>
    <w:p w14:paraId="4BF63D4F" w14:textId="5D64A885" w:rsidR="00146678" w:rsidRPr="00A14C5B" w:rsidRDefault="00146678" w:rsidP="00A14C5B">
      <w:pPr>
        <w:pStyle w:val="paragraph"/>
        <w:spacing w:line="360" w:lineRule="auto"/>
        <w:jc w:val="both"/>
        <w:textAlignment w:val="baseline"/>
        <w:rPr>
          <w:i/>
          <w:iCs/>
          <w:sz w:val="22"/>
          <w:szCs w:val="22"/>
          <w:lang w:val="en-US"/>
        </w:rPr>
      </w:pPr>
      <w:r>
        <w:rPr>
          <w:rStyle w:val="normaltextrun1"/>
          <w:b/>
          <w:bCs/>
          <w:i/>
          <w:iCs/>
          <w:sz w:val="20"/>
          <w:szCs w:val="20"/>
          <w:lang w:val="en-GB"/>
        </w:rPr>
        <w:t>Observation 6</w:t>
      </w:r>
      <w:r w:rsidRPr="1ED4170D">
        <w:rPr>
          <w:rStyle w:val="normaltextrun1"/>
          <w:b/>
          <w:bCs/>
          <w:i/>
          <w:iCs/>
          <w:sz w:val="20"/>
          <w:szCs w:val="20"/>
          <w:lang w:val="en-GB"/>
        </w:rPr>
        <w:t>: Depending on the IAB architecture and protocol choices, RRC signalling may need to be enhanced to support multiple hops with centralized resource pool coordination.</w:t>
      </w:r>
      <w:r w:rsidRPr="1ED4170D">
        <w:rPr>
          <w:rStyle w:val="eop"/>
          <w:b/>
          <w:bCs/>
          <w:sz w:val="20"/>
          <w:szCs w:val="20"/>
          <w:lang w:val="en-US"/>
        </w:rPr>
        <w:t> </w:t>
      </w:r>
    </w:p>
    <w:p w14:paraId="52545D77" w14:textId="77777777" w:rsidR="00146678" w:rsidRPr="00146678" w:rsidRDefault="00146678" w:rsidP="00A14C5B">
      <w:pPr>
        <w:spacing w:after="0" w:line="360" w:lineRule="auto"/>
        <w:jc w:val="both"/>
        <w:rPr>
          <w:b/>
          <w:i/>
          <w:lang w:val="en-US"/>
        </w:rPr>
      </w:pPr>
      <w:r w:rsidRPr="00146678">
        <w:rPr>
          <w:b/>
          <w:i/>
          <w:lang w:val="en-US"/>
        </w:rPr>
        <w:t xml:space="preserve">Observation 7: Random access of the UE part of the IAB node is less frequent compared to access UEs. </w:t>
      </w:r>
    </w:p>
    <w:p w14:paraId="521B0776" w14:textId="77777777" w:rsidR="00146678" w:rsidRPr="00146678" w:rsidRDefault="00146678" w:rsidP="00A14C5B">
      <w:pPr>
        <w:spacing w:after="0" w:line="360" w:lineRule="auto"/>
        <w:jc w:val="both"/>
        <w:rPr>
          <w:b/>
          <w:i/>
          <w:lang w:val="en-US"/>
        </w:rPr>
      </w:pPr>
      <w:r w:rsidRPr="00146678">
        <w:rPr>
          <w:b/>
          <w:i/>
          <w:lang w:val="en-US"/>
        </w:rPr>
        <w:t xml:space="preserve">Observation 8: For sharing RACH resources between IAB and UE access, the maximum round-trip time (i.e. cyclic shift step) should be estimated based on the IAB hop length rather than the maximum path loss supported by IAB node for a RACH format.  </w:t>
      </w:r>
    </w:p>
    <w:p w14:paraId="394CCCAA" w14:textId="77777777" w:rsidR="00146678" w:rsidRPr="00057C54" w:rsidRDefault="00146678" w:rsidP="00A14C5B">
      <w:pPr>
        <w:pStyle w:val="paragraph"/>
        <w:spacing w:line="360" w:lineRule="auto"/>
        <w:jc w:val="both"/>
        <w:textAlignment w:val="baseline"/>
        <w:rPr>
          <w:b/>
          <w:bCs/>
          <w:sz w:val="22"/>
          <w:szCs w:val="22"/>
          <w:lang w:val="en-US"/>
        </w:rPr>
      </w:pPr>
    </w:p>
    <w:p w14:paraId="22A5B19D" w14:textId="77777777" w:rsidR="00146678" w:rsidRPr="00470F28" w:rsidRDefault="00146678" w:rsidP="00A14C5B">
      <w:pPr>
        <w:spacing w:after="0" w:line="360" w:lineRule="auto"/>
        <w:rPr>
          <w:b/>
          <w:bCs/>
          <w:i/>
          <w:iCs/>
        </w:rPr>
      </w:pPr>
      <w:r w:rsidRPr="00470F28">
        <w:rPr>
          <w:b/>
          <w:bCs/>
          <w:i/>
          <w:iCs/>
        </w:rPr>
        <w:t>Proposal 1: RAN1 is asked to consider the need for IAB specific SSB transmissions and if the CSI-RS (or SRS) based detection and monitoring of the IAB nodes is sufficient between nodes that have done cell selection and network access.</w:t>
      </w:r>
    </w:p>
    <w:p w14:paraId="36FF86EB" w14:textId="77777777" w:rsidR="00A14C5B" w:rsidRDefault="00146678" w:rsidP="00A14C5B">
      <w:pPr>
        <w:overflowPunct/>
        <w:autoSpaceDE/>
        <w:autoSpaceDN/>
        <w:adjustRightInd/>
        <w:spacing w:after="0" w:line="360" w:lineRule="auto"/>
        <w:jc w:val="both"/>
        <w:rPr>
          <w:rFonts w:eastAsia="Times New Roman"/>
          <w:b/>
          <w:bCs/>
          <w:lang w:val="en-US" w:eastAsia="fi-FI"/>
        </w:rPr>
      </w:pPr>
      <w:r>
        <w:rPr>
          <w:b/>
          <w:bCs/>
          <w:i/>
          <w:iCs/>
          <w:lang w:eastAsia="fi-FI"/>
        </w:rPr>
        <w:t>Proposal 2</w:t>
      </w:r>
      <w:r w:rsidRPr="1ED4170D">
        <w:rPr>
          <w:rFonts w:eastAsia="Times New Roman"/>
          <w:b/>
          <w:bCs/>
          <w:i/>
          <w:iCs/>
          <w:lang w:eastAsia="fi-FI"/>
        </w:rPr>
        <w:t xml:space="preserve">: </w:t>
      </w:r>
      <w:r w:rsidRPr="1ED4170D">
        <w:rPr>
          <w:b/>
          <w:bCs/>
          <w:i/>
          <w:iCs/>
          <w:lang w:eastAsia="fi-FI"/>
        </w:rPr>
        <w:t>Distributed resource pool coordination scheme is the baseline resource allocation scheme. It can be enhanced by centralized coordination by IAB-donor.</w:t>
      </w:r>
      <w:r w:rsidRPr="1ED4170D">
        <w:rPr>
          <w:rFonts w:eastAsia="Times New Roman"/>
          <w:b/>
          <w:bCs/>
          <w:lang w:val="en-US" w:eastAsia="fi-FI"/>
        </w:rPr>
        <w:t> </w:t>
      </w:r>
    </w:p>
    <w:p w14:paraId="464E0BE3" w14:textId="77777777" w:rsidR="00A14C5B" w:rsidRDefault="00146678" w:rsidP="00A14C5B">
      <w:pPr>
        <w:overflowPunct/>
        <w:autoSpaceDE/>
        <w:autoSpaceDN/>
        <w:adjustRightInd/>
        <w:spacing w:after="0" w:line="360" w:lineRule="auto"/>
        <w:jc w:val="both"/>
        <w:rPr>
          <w:rStyle w:val="eop"/>
          <w:b/>
          <w:bCs/>
          <w:lang w:val="en-US"/>
        </w:rPr>
      </w:pPr>
      <w:r>
        <w:rPr>
          <w:rStyle w:val="normaltextrun1"/>
          <w:b/>
          <w:bCs/>
          <w:i/>
          <w:iCs/>
        </w:rPr>
        <w:t>Proposal 3</w:t>
      </w:r>
      <w:r w:rsidRPr="1ED4170D">
        <w:rPr>
          <w:rStyle w:val="normaltextrun1"/>
          <w:b/>
          <w:bCs/>
          <w:i/>
          <w:iCs/>
        </w:rPr>
        <w:t>: Granularity for the resource pool coordination between IAB-donor and IAB-nodes is one slot.</w:t>
      </w:r>
      <w:r w:rsidRPr="1ED4170D">
        <w:rPr>
          <w:rStyle w:val="eop"/>
          <w:b/>
          <w:bCs/>
          <w:lang w:val="en-US"/>
        </w:rPr>
        <w:t> </w:t>
      </w:r>
    </w:p>
    <w:p w14:paraId="571FFDF4" w14:textId="77777777" w:rsidR="00A14C5B" w:rsidRDefault="00146678" w:rsidP="00A14C5B">
      <w:pPr>
        <w:overflowPunct/>
        <w:autoSpaceDE/>
        <w:autoSpaceDN/>
        <w:adjustRightInd/>
        <w:spacing w:after="0" w:line="360" w:lineRule="auto"/>
        <w:jc w:val="both"/>
        <w:rPr>
          <w:rStyle w:val="eop"/>
          <w:i/>
          <w:lang w:val="en-US"/>
        </w:rPr>
      </w:pPr>
      <w:r w:rsidRPr="00146678">
        <w:rPr>
          <w:rStyle w:val="normaltextrun1"/>
          <w:b/>
          <w:bCs/>
          <w:i/>
          <w:lang w:val="en-US"/>
        </w:rPr>
        <w:t>Proposal 4: GC-PDCCH enhancements are needed to facilitate dynamic resource allocation between the backhaul and access links as well as centralized resource coordination.</w:t>
      </w:r>
      <w:r w:rsidRPr="00146678">
        <w:rPr>
          <w:rStyle w:val="eop"/>
          <w:i/>
          <w:lang w:val="en-US"/>
        </w:rPr>
        <w:t> </w:t>
      </w:r>
    </w:p>
    <w:p w14:paraId="0A686A37" w14:textId="77777777" w:rsidR="00A14C5B" w:rsidRDefault="00146678" w:rsidP="00A14C5B">
      <w:pPr>
        <w:overflowPunct/>
        <w:autoSpaceDE/>
        <w:autoSpaceDN/>
        <w:adjustRightInd/>
        <w:spacing w:after="0" w:line="360" w:lineRule="auto"/>
        <w:jc w:val="both"/>
        <w:rPr>
          <w:rFonts w:eastAsia="Times New Roman"/>
          <w:b/>
          <w:bCs/>
          <w:lang w:val="en-US" w:eastAsia="fi-FI"/>
        </w:rPr>
      </w:pPr>
      <w:r w:rsidRPr="00146678">
        <w:rPr>
          <w:rStyle w:val="normaltextrun1"/>
          <w:b/>
          <w:bCs/>
          <w:i/>
          <w:lang w:val="en-US"/>
        </w:rPr>
        <w:t>Proposal 5: RN processing time capabilities need to be discussed as part of the IAB studies.</w:t>
      </w:r>
      <w:r w:rsidRPr="00146678">
        <w:rPr>
          <w:rStyle w:val="eop"/>
          <w:i/>
          <w:lang w:val="en-US"/>
        </w:rPr>
        <w:t> </w:t>
      </w:r>
    </w:p>
    <w:p w14:paraId="7C90DAF2" w14:textId="77777777" w:rsidR="00A14C5B" w:rsidRDefault="00146678" w:rsidP="00A14C5B">
      <w:pPr>
        <w:overflowPunct/>
        <w:autoSpaceDE/>
        <w:autoSpaceDN/>
        <w:adjustRightInd/>
        <w:spacing w:after="0" w:line="360" w:lineRule="auto"/>
        <w:jc w:val="both"/>
        <w:rPr>
          <w:rFonts w:eastAsia="Times New Roman"/>
          <w:b/>
          <w:bCs/>
          <w:lang w:val="en-US" w:eastAsia="fi-FI"/>
        </w:rPr>
      </w:pPr>
      <w:r w:rsidRPr="00146678">
        <w:rPr>
          <w:b/>
          <w:i/>
        </w:rPr>
        <w:t xml:space="preserve">Proposal 6: Multiplexing RACH transmissions of access UEs and IAB nodes can be handled within the Rel-15 framework. </w:t>
      </w:r>
    </w:p>
    <w:p w14:paraId="5E6122FC" w14:textId="77777777" w:rsidR="00A14C5B" w:rsidRDefault="00146678" w:rsidP="00A14C5B">
      <w:pPr>
        <w:overflowPunct/>
        <w:autoSpaceDE/>
        <w:autoSpaceDN/>
        <w:adjustRightInd/>
        <w:spacing w:after="0" w:line="360" w:lineRule="auto"/>
        <w:jc w:val="both"/>
        <w:rPr>
          <w:rFonts w:eastAsia="Times New Roman"/>
          <w:b/>
          <w:bCs/>
          <w:lang w:val="en-US" w:eastAsia="fi-FI"/>
        </w:rPr>
      </w:pPr>
      <w:r w:rsidRPr="00146678">
        <w:rPr>
          <w:b/>
          <w:i/>
          <w:lang w:val="en-US"/>
        </w:rPr>
        <w:t>Proposal 7: It should be clarified whether there will be standard impacts related to use of different timing options or could they be left for implementation options.</w:t>
      </w:r>
    </w:p>
    <w:p w14:paraId="2A3ACA9E" w14:textId="36763CC1" w:rsidR="007C262E" w:rsidRPr="00A14C5B" w:rsidRDefault="00146678" w:rsidP="00A14C5B">
      <w:pPr>
        <w:overflowPunct/>
        <w:autoSpaceDE/>
        <w:autoSpaceDN/>
        <w:adjustRightInd/>
        <w:spacing w:after="0" w:line="360" w:lineRule="auto"/>
        <w:jc w:val="both"/>
        <w:rPr>
          <w:rStyle w:val="eop"/>
          <w:rFonts w:eastAsia="Times New Roman"/>
          <w:b/>
          <w:bCs/>
          <w:lang w:val="en-US" w:eastAsia="fi-FI"/>
        </w:rPr>
      </w:pPr>
      <w:r w:rsidRPr="00146678">
        <w:rPr>
          <w:b/>
          <w:i/>
          <w:lang w:val="en-US"/>
        </w:rPr>
        <w:t>Proposal 8: Options leading to synchronized network can be taken as a baseline for IAB operation and deployment. The other options can be left for later studies and/or choices for implementation.</w:t>
      </w:r>
    </w:p>
    <w:p w14:paraId="2F0729C1" w14:textId="4F54E886" w:rsidR="0034111C" w:rsidRPr="00A51522" w:rsidRDefault="1ED4170D" w:rsidP="007825F0">
      <w:pPr>
        <w:pStyle w:val="Heading1"/>
      </w:pPr>
      <w:r>
        <w:t xml:space="preserve"> References </w:t>
      </w:r>
    </w:p>
    <w:p w14:paraId="209E6334" w14:textId="0214A926" w:rsidR="008B062B" w:rsidRPr="00A14C5B" w:rsidRDefault="1ED4170D" w:rsidP="1ED4170D">
      <w:pPr>
        <w:numPr>
          <w:ilvl w:val="0"/>
          <w:numId w:val="1"/>
        </w:numPr>
        <w:rPr>
          <w:sz w:val="18"/>
          <w:szCs w:val="18"/>
        </w:rPr>
      </w:pPr>
      <w:r w:rsidRPr="00A14C5B">
        <w:rPr>
          <w:iCs/>
          <w:sz w:val="18"/>
          <w:szCs w:val="18"/>
        </w:rPr>
        <w:t>Draft Report of 3GPP TSG RAN WG1 #93 v0.2.0</w:t>
      </w:r>
    </w:p>
    <w:p w14:paraId="56582A6D" w14:textId="77777777" w:rsidR="00470F28" w:rsidRDefault="00470F28" w:rsidP="00470F28">
      <w:pPr>
        <w:numPr>
          <w:ilvl w:val="0"/>
          <w:numId w:val="1"/>
        </w:numPr>
        <w:rPr>
          <w:sz w:val="18"/>
          <w:szCs w:val="18"/>
        </w:rPr>
      </w:pPr>
      <w:bookmarkStart w:id="2" w:name="_Ref510687574"/>
      <w:r w:rsidRPr="1ED4170D">
        <w:rPr>
          <w:sz w:val="18"/>
          <w:szCs w:val="18"/>
          <w:lang w:eastAsia="zh-CN"/>
        </w:rPr>
        <w:t>R1-</w:t>
      </w:r>
      <w:r w:rsidRPr="1ED4170D">
        <w:rPr>
          <w:sz w:val="18"/>
          <w:szCs w:val="18"/>
        </w:rPr>
        <w:t>1808581</w:t>
      </w:r>
      <w:r w:rsidRPr="1ED4170D">
        <w:rPr>
          <w:sz w:val="18"/>
          <w:szCs w:val="18"/>
          <w:lang w:eastAsia="zh-CN"/>
        </w:rPr>
        <w:t>, “</w:t>
      </w:r>
      <w:r w:rsidRPr="1ED4170D">
        <w:rPr>
          <w:i/>
          <w:iCs/>
          <w:sz w:val="18"/>
          <w:szCs w:val="18"/>
          <w:lang w:val="en-US" w:eastAsia="zh-CN"/>
        </w:rPr>
        <w:t>Measurements with IAB</w:t>
      </w:r>
      <w:r w:rsidRPr="1ED4170D">
        <w:rPr>
          <w:sz w:val="18"/>
          <w:szCs w:val="18"/>
          <w:lang w:eastAsia="zh-CN"/>
        </w:rPr>
        <w:t>”, Nokia, Nokia Shanghai Bell</w:t>
      </w:r>
    </w:p>
    <w:p w14:paraId="18F3BD57" w14:textId="2E09EF77" w:rsidR="00927BDE" w:rsidRPr="007C262E" w:rsidRDefault="1ED4170D" w:rsidP="1ED4170D">
      <w:pPr>
        <w:pStyle w:val="ListParagraph"/>
        <w:numPr>
          <w:ilvl w:val="0"/>
          <w:numId w:val="1"/>
        </w:numPr>
        <w:rPr>
          <w:rFonts w:eastAsia="Times New Roman"/>
          <w:sz w:val="18"/>
          <w:szCs w:val="18"/>
          <w:lang w:val="en-GB"/>
        </w:rPr>
      </w:pPr>
      <w:r w:rsidRPr="007C262E">
        <w:rPr>
          <w:sz w:val="18"/>
          <w:szCs w:val="18"/>
          <w:lang w:val="en-GB"/>
        </w:rPr>
        <w:t>R1-1808580, “</w:t>
      </w:r>
      <w:r w:rsidRPr="007C262E">
        <w:rPr>
          <w:i/>
          <w:iCs/>
          <w:sz w:val="18"/>
          <w:szCs w:val="18"/>
          <w:lang w:val="en-GB"/>
        </w:rPr>
        <w:t>IAB resource allocation</w:t>
      </w:r>
      <w:r w:rsidRPr="007C262E">
        <w:rPr>
          <w:sz w:val="18"/>
          <w:szCs w:val="18"/>
          <w:lang w:val="en-GB"/>
        </w:rPr>
        <w:t>”, Nokia, Nokia Shanghai Bell</w:t>
      </w:r>
      <w:bookmarkEnd w:id="2"/>
    </w:p>
    <w:p w14:paraId="4E347688" w14:textId="77777777" w:rsidR="007C262E" w:rsidRPr="007C262E" w:rsidRDefault="007C262E" w:rsidP="007C262E">
      <w:pPr>
        <w:pStyle w:val="ListParagraph"/>
        <w:ind w:left="357"/>
        <w:rPr>
          <w:rFonts w:eastAsia="Times New Roman"/>
          <w:sz w:val="18"/>
          <w:szCs w:val="18"/>
          <w:lang w:val="en-GB"/>
        </w:rPr>
      </w:pPr>
    </w:p>
    <w:p w14:paraId="3EC4DA9F" w14:textId="18508B28" w:rsidR="00EC4DEE" w:rsidRPr="00EC4DEE" w:rsidRDefault="1ED4170D" w:rsidP="1ED4170D">
      <w:pPr>
        <w:numPr>
          <w:ilvl w:val="0"/>
          <w:numId w:val="1"/>
        </w:numPr>
        <w:rPr>
          <w:sz w:val="18"/>
          <w:szCs w:val="18"/>
        </w:rPr>
      </w:pPr>
      <w:r w:rsidRPr="1ED4170D">
        <w:rPr>
          <w:sz w:val="18"/>
          <w:szCs w:val="18"/>
          <w:lang w:eastAsia="zh-CN"/>
        </w:rPr>
        <w:t>R1-18</w:t>
      </w:r>
      <w:r w:rsidR="005B301E">
        <w:rPr>
          <w:sz w:val="18"/>
          <w:szCs w:val="18"/>
          <w:lang w:eastAsia="zh-CN"/>
        </w:rPr>
        <w:t>0</w:t>
      </w:r>
      <w:r w:rsidR="00F941B5">
        <w:rPr>
          <w:sz w:val="18"/>
          <w:szCs w:val="18"/>
          <w:lang w:eastAsia="zh-CN"/>
        </w:rPr>
        <w:t>8583</w:t>
      </w:r>
      <w:r w:rsidRPr="1ED4170D">
        <w:rPr>
          <w:sz w:val="18"/>
          <w:szCs w:val="18"/>
          <w:lang w:eastAsia="zh-CN"/>
        </w:rPr>
        <w:t>, “</w:t>
      </w:r>
      <w:r w:rsidRPr="1ED4170D">
        <w:rPr>
          <w:i/>
          <w:iCs/>
          <w:sz w:val="18"/>
          <w:szCs w:val="18"/>
          <w:lang w:eastAsia="zh-CN"/>
        </w:rPr>
        <w:t>RACH enhancements for IAB”</w:t>
      </w:r>
      <w:r w:rsidRPr="1ED4170D">
        <w:rPr>
          <w:sz w:val="18"/>
          <w:szCs w:val="18"/>
          <w:lang w:eastAsia="zh-CN"/>
        </w:rPr>
        <w:t>, Nokia, Nokia Shanghai Bell</w:t>
      </w:r>
    </w:p>
    <w:p w14:paraId="70D43389" w14:textId="0D171A12" w:rsidR="00714BA2" w:rsidRPr="00A14C5B" w:rsidRDefault="1ED4170D" w:rsidP="008E64B4">
      <w:pPr>
        <w:numPr>
          <w:ilvl w:val="0"/>
          <w:numId w:val="1"/>
        </w:numPr>
        <w:rPr>
          <w:sz w:val="18"/>
        </w:rPr>
      </w:pPr>
      <w:bookmarkStart w:id="3" w:name="_Ref510618534"/>
      <w:r w:rsidRPr="00A14C5B">
        <w:rPr>
          <w:sz w:val="18"/>
          <w:szCs w:val="18"/>
          <w:lang w:eastAsia="zh-CN"/>
        </w:rPr>
        <w:t>R1-18</w:t>
      </w:r>
      <w:r w:rsidR="0013786F" w:rsidRPr="00A14C5B">
        <w:rPr>
          <w:sz w:val="18"/>
          <w:szCs w:val="18"/>
          <w:lang w:eastAsia="zh-CN"/>
        </w:rPr>
        <w:t>08582</w:t>
      </w:r>
      <w:r w:rsidRPr="00A14C5B">
        <w:rPr>
          <w:sz w:val="18"/>
          <w:szCs w:val="18"/>
          <w:lang w:eastAsia="zh-CN"/>
        </w:rPr>
        <w:t>, “</w:t>
      </w:r>
      <w:r w:rsidRPr="00A14C5B">
        <w:rPr>
          <w:i/>
          <w:iCs/>
          <w:sz w:val="18"/>
          <w:szCs w:val="18"/>
          <w:lang w:eastAsia="zh-CN"/>
        </w:rPr>
        <w:t>IAB timing”</w:t>
      </w:r>
      <w:r w:rsidRPr="00A14C5B">
        <w:rPr>
          <w:sz w:val="18"/>
          <w:szCs w:val="18"/>
          <w:lang w:eastAsia="zh-CN"/>
        </w:rPr>
        <w:t>, Nokia, Nokia Shanghai Bell</w:t>
      </w:r>
      <w:bookmarkEnd w:id="3"/>
    </w:p>
    <w:sectPr w:rsidR="00714BA2" w:rsidRPr="00A14C5B" w:rsidSect="000131D1">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6DC1A4" w14:textId="77777777" w:rsidR="00A72EA0" w:rsidRDefault="00A72EA0">
      <w:r>
        <w:separator/>
      </w:r>
    </w:p>
  </w:endnote>
  <w:endnote w:type="continuationSeparator" w:id="0">
    <w:p w14:paraId="0B9DB93E" w14:textId="77777777" w:rsidR="00A72EA0" w:rsidRDefault="00A72EA0">
      <w:r>
        <w:continuationSeparator/>
      </w:r>
    </w:p>
  </w:endnote>
  <w:endnote w:type="continuationNotice" w:id="1">
    <w:p w14:paraId="4B3AEEEA" w14:textId="77777777" w:rsidR="00A72EA0" w:rsidRDefault="00A72E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Lucida Grande">
    <w:altName w:val="Segoe UI"/>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MS Mincho">
    <w:altName w:val="Arial"/>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0FC21" w14:textId="72BE6BF8" w:rsidR="00FB4407" w:rsidRDefault="00B75603">
    <w:pPr>
      <w:pStyle w:val="Footer"/>
    </w:pPr>
    <w:r>
      <mc:AlternateContent>
        <mc:Choice Requires="wps">
          <w:drawing>
            <wp:anchor distT="0" distB="0" distL="114300" distR="114300" simplePos="0" relativeHeight="251659264" behindDoc="0" locked="0" layoutInCell="0" allowOverlap="1" wp14:anchorId="0E40F5AB" wp14:editId="3E29E1AA">
              <wp:simplePos x="0" y="0"/>
              <wp:positionH relativeFrom="page">
                <wp:posOffset>0</wp:posOffset>
              </wp:positionH>
              <wp:positionV relativeFrom="page">
                <wp:posOffset>10250170</wp:posOffset>
              </wp:positionV>
              <wp:extent cx="7560945" cy="252095"/>
              <wp:effectExtent l="0" t="0" r="0" b="14605"/>
              <wp:wrapNone/>
              <wp:docPr id="1" name="MSIPCMa16049bf86828c75c3fe9d45" descr="{&quot;HashCode&quot;:-169759003,&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85A5F46" w14:textId="204D39FE" w:rsidR="00B75603" w:rsidRPr="00B75603" w:rsidRDefault="00B75603" w:rsidP="00B75603">
                          <w:pPr>
                            <w:spacing w:after="0"/>
                            <w:jc w:val="center"/>
                            <w:rPr>
                              <w:rFonts w:ascii="Arial" w:hAnsi="Arial" w:cs="Arial"/>
                              <w:color w:val="001753"/>
                              <w:sz w:val="16"/>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0E40F5AB" id="_x0000_t202" coordsize="21600,21600" o:spt="202" path="m,l,21600r21600,l21600,xe">
              <v:stroke joinstyle="miter"/>
              <v:path gradientshapeok="t" o:connecttype="rect"/>
            </v:shapetype>
            <v:shape id="MSIPCMa16049bf86828c75c3fe9d45" o:spid="_x0000_s1026" type="#_x0000_t202" alt="{&quot;HashCode&quot;:-169759003,&quot;Height&quot;:842.0,&quot;Width&quot;:595.0,&quot;Placement&quot;:&quot;Footer&quot;,&quot;Index&quot;:&quot;Primary&quot;,&quot;Section&quot;:1,&quot;Top&quot;:0.0,&quot;Left&quot;:0.0}" style="position:absolute;left:0;text-align:left;margin-left:0;margin-top:807.1pt;width:595.35pt;height:19.8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" o:allowincell="f" filled="f" stroked="f" strokeweight=".5pt">
              <v:textbox inset=",0,,0">
                <w:txbxContent>
                  <w:p w14:paraId="185A5F46" w14:textId="204D39FE" w:rsidR="00B75603" w:rsidRPr="00B75603" w:rsidRDefault="00B75603" w:rsidP="00B75603">
                    <w:pPr>
                      <w:spacing w:after="0"/>
                      <w:jc w:val="center"/>
                      <w:rPr>
                        <w:rFonts w:ascii="Arial" w:hAnsi="Arial" w:cs="Arial"/>
                        <w:color w:val="001753"/>
                        <w:sz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8C8A69" w14:textId="77777777" w:rsidR="00A72EA0" w:rsidRDefault="00A72EA0">
      <w:r>
        <w:separator/>
      </w:r>
    </w:p>
  </w:footnote>
  <w:footnote w:type="continuationSeparator" w:id="0">
    <w:p w14:paraId="6FF838C1" w14:textId="77777777" w:rsidR="00A72EA0" w:rsidRDefault="00A72EA0">
      <w:r>
        <w:continuationSeparator/>
      </w:r>
    </w:p>
  </w:footnote>
  <w:footnote w:type="continuationNotice" w:id="1">
    <w:p w14:paraId="23672251" w14:textId="77777777" w:rsidR="00A72EA0" w:rsidRDefault="00A72EA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8E6EEC"/>
    <w:multiLevelType w:val="hybridMultilevel"/>
    <w:tmpl w:val="2414968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A88401E"/>
    <w:multiLevelType w:val="hybridMultilevel"/>
    <w:tmpl w:val="D5605FC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BE32E47"/>
    <w:multiLevelType w:val="hybridMultilevel"/>
    <w:tmpl w:val="47DAD100"/>
    <w:lvl w:ilvl="0" w:tplc="04090011">
      <w:start w:val="1"/>
      <w:numFmt w:val="decimal"/>
      <w:lvlText w:val="%1)"/>
      <w:lvlJc w:val="left"/>
      <w:pPr>
        <w:ind w:left="1004" w:hanging="360"/>
      </w:pPr>
      <w:rPr>
        <w:rFonts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3" w15:restartNumberingAfterBreak="0">
    <w:nsid w:val="0C666140"/>
    <w:multiLevelType w:val="multilevel"/>
    <w:tmpl w:val="2D9E6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C7A4A28"/>
    <w:multiLevelType w:val="hybridMultilevel"/>
    <w:tmpl w:val="310299B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0E9B77F4"/>
    <w:multiLevelType w:val="hybridMultilevel"/>
    <w:tmpl w:val="78083332"/>
    <w:lvl w:ilvl="0" w:tplc="04090001">
      <w:start w:val="1"/>
      <w:numFmt w:val="bullet"/>
      <w:lvlText w:val=""/>
      <w:lvlJc w:val="left"/>
      <w:pPr>
        <w:ind w:left="928"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35679D3"/>
    <w:multiLevelType w:val="hybridMultilevel"/>
    <w:tmpl w:val="BBD67C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7B6CBD"/>
    <w:multiLevelType w:val="hybridMultilevel"/>
    <w:tmpl w:val="A0D6D2F8"/>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8" w15:restartNumberingAfterBreak="0">
    <w:nsid w:val="14DD1DE1"/>
    <w:multiLevelType w:val="hybridMultilevel"/>
    <w:tmpl w:val="2C04E43A"/>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9" w15:restartNumberingAfterBreak="0">
    <w:nsid w:val="19312710"/>
    <w:multiLevelType w:val="hybridMultilevel"/>
    <w:tmpl w:val="899EE4F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C27430E"/>
    <w:multiLevelType w:val="hybridMultilevel"/>
    <w:tmpl w:val="375C40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23A40DE7"/>
    <w:multiLevelType w:val="hybridMultilevel"/>
    <w:tmpl w:val="F7FC0CE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24A34AF9"/>
    <w:multiLevelType w:val="hybridMultilevel"/>
    <w:tmpl w:val="8B16718A"/>
    <w:lvl w:ilvl="0" w:tplc="8F0C54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D61E9C"/>
    <w:multiLevelType w:val="hybridMultilevel"/>
    <w:tmpl w:val="0E72B01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29D74B9E"/>
    <w:multiLevelType w:val="hybridMultilevel"/>
    <w:tmpl w:val="42FC42D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2EFD542E"/>
    <w:multiLevelType w:val="hybridMultilevel"/>
    <w:tmpl w:val="C1682C84"/>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16" w15:restartNumberingAfterBreak="0">
    <w:nsid w:val="30FD17B5"/>
    <w:multiLevelType w:val="hybridMultilevel"/>
    <w:tmpl w:val="8130AD08"/>
    <w:lvl w:ilvl="0" w:tplc="9D44A46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9E40CA"/>
    <w:multiLevelType w:val="hybridMultilevel"/>
    <w:tmpl w:val="23CA549A"/>
    <w:lvl w:ilvl="0" w:tplc="4CD03390">
      <w:start w:val="1"/>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5C753C3"/>
    <w:multiLevelType w:val="multilevel"/>
    <w:tmpl w:val="62A0E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6010ADE"/>
    <w:multiLevelType w:val="hybridMultilevel"/>
    <w:tmpl w:val="350EC1F6"/>
    <w:lvl w:ilvl="0" w:tplc="FFFFFFFF">
      <w:start w:val="1"/>
      <w:numFmt w:val="decimal"/>
      <w:lvlText w:val="[%1]"/>
      <w:lvlJc w:val="left"/>
      <w:pPr>
        <w:tabs>
          <w:tab w:val="num" w:pos="360"/>
        </w:tabs>
        <w:ind w:left="357" w:hanging="357"/>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DE1290F"/>
    <w:multiLevelType w:val="hybridMultilevel"/>
    <w:tmpl w:val="CA000A7A"/>
    <w:lvl w:ilvl="0" w:tplc="58CCF1EE">
      <w:start w:val="1"/>
      <w:numFmt w:val="bullet"/>
      <w:lvlText w:val="•"/>
      <w:lvlJc w:val="left"/>
      <w:pPr>
        <w:tabs>
          <w:tab w:val="num" w:pos="720"/>
        </w:tabs>
        <w:ind w:left="720" w:hanging="360"/>
      </w:pPr>
      <w:rPr>
        <w:rFonts w:ascii="Arial" w:hAnsi="Arial" w:hint="default"/>
      </w:rPr>
    </w:lvl>
    <w:lvl w:ilvl="1" w:tplc="F0E87ADA">
      <w:numFmt w:val="bullet"/>
      <w:lvlText w:val="-"/>
      <w:lvlJc w:val="left"/>
      <w:pPr>
        <w:tabs>
          <w:tab w:val="num" w:pos="1440"/>
        </w:tabs>
        <w:ind w:left="1440" w:hanging="360"/>
      </w:pPr>
      <w:rPr>
        <w:rFonts w:ascii="Lucida Grande" w:hAnsi="Lucida Grande" w:hint="default"/>
      </w:rPr>
    </w:lvl>
    <w:lvl w:ilvl="2" w:tplc="89308700" w:tentative="1">
      <w:start w:val="1"/>
      <w:numFmt w:val="bullet"/>
      <w:lvlText w:val="•"/>
      <w:lvlJc w:val="left"/>
      <w:pPr>
        <w:tabs>
          <w:tab w:val="num" w:pos="2160"/>
        </w:tabs>
        <w:ind w:left="2160" w:hanging="360"/>
      </w:pPr>
      <w:rPr>
        <w:rFonts w:ascii="Arial" w:hAnsi="Arial" w:hint="default"/>
      </w:rPr>
    </w:lvl>
    <w:lvl w:ilvl="3" w:tplc="79821332" w:tentative="1">
      <w:start w:val="1"/>
      <w:numFmt w:val="bullet"/>
      <w:lvlText w:val="•"/>
      <w:lvlJc w:val="left"/>
      <w:pPr>
        <w:tabs>
          <w:tab w:val="num" w:pos="2880"/>
        </w:tabs>
        <w:ind w:left="2880" w:hanging="360"/>
      </w:pPr>
      <w:rPr>
        <w:rFonts w:ascii="Arial" w:hAnsi="Arial" w:hint="default"/>
      </w:rPr>
    </w:lvl>
    <w:lvl w:ilvl="4" w:tplc="E6420C46" w:tentative="1">
      <w:start w:val="1"/>
      <w:numFmt w:val="bullet"/>
      <w:lvlText w:val="•"/>
      <w:lvlJc w:val="left"/>
      <w:pPr>
        <w:tabs>
          <w:tab w:val="num" w:pos="3600"/>
        </w:tabs>
        <w:ind w:left="3600" w:hanging="360"/>
      </w:pPr>
      <w:rPr>
        <w:rFonts w:ascii="Arial" w:hAnsi="Arial" w:hint="default"/>
      </w:rPr>
    </w:lvl>
    <w:lvl w:ilvl="5" w:tplc="4B5A51DC" w:tentative="1">
      <w:start w:val="1"/>
      <w:numFmt w:val="bullet"/>
      <w:lvlText w:val="•"/>
      <w:lvlJc w:val="left"/>
      <w:pPr>
        <w:tabs>
          <w:tab w:val="num" w:pos="4320"/>
        </w:tabs>
        <w:ind w:left="4320" w:hanging="360"/>
      </w:pPr>
      <w:rPr>
        <w:rFonts w:ascii="Arial" w:hAnsi="Arial" w:hint="default"/>
      </w:rPr>
    </w:lvl>
    <w:lvl w:ilvl="6" w:tplc="C1D0F3CA" w:tentative="1">
      <w:start w:val="1"/>
      <w:numFmt w:val="bullet"/>
      <w:lvlText w:val="•"/>
      <w:lvlJc w:val="left"/>
      <w:pPr>
        <w:tabs>
          <w:tab w:val="num" w:pos="5040"/>
        </w:tabs>
        <w:ind w:left="5040" w:hanging="360"/>
      </w:pPr>
      <w:rPr>
        <w:rFonts w:ascii="Arial" w:hAnsi="Arial" w:hint="default"/>
      </w:rPr>
    </w:lvl>
    <w:lvl w:ilvl="7" w:tplc="1B922844" w:tentative="1">
      <w:start w:val="1"/>
      <w:numFmt w:val="bullet"/>
      <w:lvlText w:val="•"/>
      <w:lvlJc w:val="left"/>
      <w:pPr>
        <w:tabs>
          <w:tab w:val="num" w:pos="5760"/>
        </w:tabs>
        <w:ind w:left="5760" w:hanging="360"/>
      </w:pPr>
      <w:rPr>
        <w:rFonts w:ascii="Arial" w:hAnsi="Arial" w:hint="default"/>
      </w:rPr>
    </w:lvl>
    <w:lvl w:ilvl="8" w:tplc="434401F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E2549B2"/>
    <w:multiLevelType w:val="hybridMultilevel"/>
    <w:tmpl w:val="2C04E43A"/>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2" w15:restartNumberingAfterBreak="0">
    <w:nsid w:val="3F3769F2"/>
    <w:multiLevelType w:val="hybridMultilevel"/>
    <w:tmpl w:val="7CFEB2B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3FA84C76"/>
    <w:multiLevelType w:val="hybridMultilevel"/>
    <w:tmpl w:val="3176043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428110B9"/>
    <w:multiLevelType w:val="hybridMultilevel"/>
    <w:tmpl w:val="9AF64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cs="Times New Roman"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26" w15:restartNumberingAfterBreak="0">
    <w:nsid w:val="43695F64"/>
    <w:multiLevelType w:val="hybridMultilevel"/>
    <w:tmpl w:val="2FFA057C"/>
    <w:lvl w:ilvl="0" w:tplc="040B0001">
      <w:start w:val="1"/>
      <w:numFmt w:val="bullet"/>
      <w:lvlText w:val=""/>
      <w:lvlJc w:val="left"/>
      <w:pPr>
        <w:ind w:left="2348" w:hanging="360"/>
      </w:pPr>
      <w:rPr>
        <w:rFonts w:ascii="Symbol" w:hAnsi="Symbol" w:hint="default"/>
      </w:rPr>
    </w:lvl>
    <w:lvl w:ilvl="1" w:tplc="040B0003" w:tentative="1">
      <w:start w:val="1"/>
      <w:numFmt w:val="bullet"/>
      <w:lvlText w:val="o"/>
      <w:lvlJc w:val="left"/>
      <w:pPr>
        <w:ind w:left="3068" w:hanging="360"/>
      </w:pPr>
      <w:rPr>
        <w:rFonts w:ascii="Courier New" w:hAnsi="Courier New" w:cs="Courier New" w:hint="default"/>
      </w:rPr>
    </w:lvl>
    <w:lvl w:ilvl="2" w:tplc="040B0005" w:tentative="1">
      <w:start w:val="1"/>
      <w:numFmt w:val="bullet"/>
      <w:lvlText w:val=""/>
      <w:lvlJc w:val="left"/>
      <w:pPr>
        <w:ind w:left="3788" w:hanging="360"/>
      </w:pPr>
      <w:rPr>
        <w:rFonts w:ascii="Wingdings" w:hAnsi="Wingdings" w:hint="default"/>
      </w:rPr>
    </w:lvl>
    <w:lvl w:ilvl="3" w:tplc="040B0001" w:tentative="1">
      <w:start w:val="1"/>
      <w:numFmt w:val="bullet"/>
      <w:lvlText w:val=""/>
      <w:lvlJc w:val="left"/>
      <w:pPr>
        <w:ind w:left="4508" w:hanging="360"/>
      </w:pPr>
      <w:rPr>
        <w:rFonts w:ascii="Symbol" w:hAnsi="Symbol" w:hint="default"/>
      </w:rPr>
    </w:lvl>
    <w:lvl w:ilvl="4" w:tplc="040B0003" w:tentative="1">
      <w:start w:val="1"/>
      <w:numFmt w:val="bullet"/>
      <w:lvlText w:val="o"/>
      <w:lvlJc w:val="left"/>
      <w:pPr>
        <w:ind w:left="5228" w:hanging="360"/>
      </w:pPr>
      <w:rPr>
        <w:rFonts w:ascii="Courier New" w:hAnsi="Courier New" w:cs="Courier New" w:hint="default"/>
      </w:rPr>
    </w:lvl>
    <w:lvl w:ilvl="5" w:tplc="040B0005" w:tentative="1">
      <w:start w:val="1"/>
      <w:numFmt w:val="bullet"/>
      <w:lvlText w:val=""/>
      <w:lvlJc w:val="left"/>
      <w:pPr>
        <w:ind w:left="5948" w:hanging="360"/>
      </w:pPr>
      <w:rPr>
        <w:rFonts w:ascii="Wingdings" w:hAnsi="Wingdings" w:hint="default"/>
      </w:rPr>
    </w:lvl>
    <w:lvl w:ilvl="6" w:tplc="040B0001" w:tentative="1">
      <w:start w:val="1"/>
      <w:numFmt w:val="bullet"/>
      <w:lvlText w:val=""/>
      <w:lvlJc w:val="left"/>
      <w:pPr>
        <w:ind w:left="6668" w:hanging="360"/>
      </w:pPr>
      <w:rPr>
        <w:rFonts w:ascii="Symbol" w:hAnsi="Symbol" w:hint="default"/>
      </w:rPr>
    </w:lvl>
    <w:lvl w:ilvl="7" w:tplc="040B0003" w:tentative="1">
      <w:start w:val="1"/>
      <w:numFmt w:val="bullet"/>
      <w:lvlText w:val="o"/>
      <w:lvlJc w:val="left"/>
      <w:pPr>
        <w:ind w:left="7388" w:hanging="360"/>
      </w:pPr>
      <w:rPr>
        <w:rFonts w:ascii="Courier New" w:hAnsi="Courier New" w:cs="Courier New" w:hint="default"/>
      </w:rPr>
    </w:lvl>
    <w:lvl w:ilvl="8" w:tplc="040B0005" w:tentative="1">
      <w:start w:val="1"/>
      <w:numFmt w:val="bullet"/>
      <w:lvlText w:val=""/>
      <w:lvlJc w:val="left"/>
      <w:pPr>
        <w:ind w:left="8108" w:hanging="360"/>
      </w:pPr>
      <w:rPr>
        <w:rFonts w:ascii="Wingdings" w:hAnsi="Wingdings" w:hint="default"/>
      </w:rPr>
    </w:lvl>
  </w:abstractNum>
  <w:abstractNum w:abstractNumId="27" w15:restartNumberingAfterBreak="0">
    <w:nsid w:val="455753DD"/>
    <w:multiLevelType w:val="hybridMultilevel"/>
    <w:tmpl w:val="15B29CF4"/>
    <w:lvl w:ilvl="0" w:tplc="040B0001">
      <w:start w:val="1"/>
      <w:numFmt w:val="bullet"/>
      <w:lvlText w:val=""/>
      <w:lvlJc w:val="left"/>
      <w:pPr>
        <w:ind w:left="774" w:hanging="360"/>
      </w:pPr>
      <w:rPr>
        <w:rFonts w:ascii="Symbol" w:hAnsi="Symbol" w:hint="default"/>
      </w:rPr>
    </w:lvl>
    <w:lvl w:ilvl="1" w:tplc="040B0003" w:tentative="1">
      <w:start w:val="1"/>
      <w:numFmt w:val="bullet"/>
      <w:lvlText w:val="o"/>
      <w:lvlJc w:val="left"/>
      <w:pPr>
        <w:ind w:left="1494" w:hanging="360"/>
      </w:pPr>
      <w:rPr>
        <w:rFonts w:ascii="Courier New" w:hAnsi="Courier New" w:cs="Courier New" w:hint="default"/>
      </w:rPr>
    </w:lvl>
    <w:lvl w:ilvl="2" w:tplc="040B0005" w:tentative="1">
      <w:start w:val="1"/>
      <w:numFmt w:val="bullet"/>
      <w:lvlText w:val=""/>
      <w:lvlJc w:val="left"/>
      <w:pPr>
        <w:ind w:left="2214" w:hanging="360"/>
      </w:pPr>
      <w:rPr>
        <w:rFonts w:ascii="Wingdings" w:hAnsi="Wingdings" w:hint="default"/>
      </w:rPr>
    </w:lvl>
    <w:lvl w:ilvl="3" w:tplc="040B0001" w:tentative="1">
      <w:start w:val="1"/>
      <w:numFmt w:val="bullet"/>
      <w:lvlText w:val=""/>
      <w:lvlJc w:val="left"/>
      <w:pPr>
        <w:ind w:left="2934" w:hanging="360"/>
      </w:pPr>
      <w:rPr>
        <w:rFonts w:ascii="Symbol" w:hAnsi="Symbol" w:hint="default"/>
      </w:rPr>
    </w:lvl>
    <w:lvl w:ilvl="4" w:tplc="040B0003" w:tentative="1">
      <w:start w:val="1"/>
      <w:numFmt w:val="bullet"/>
      <w:lvlText w:val="o"/>
      <w:lvlJc w:val="left"/>
      <w:pPr>
        <w:ind w:left="3654" w:hanging="360"/>
      </w:pPr>
      <w:rPr>
        <w:rFonts w:ascii="Courier New" w:hAnsi="Courier New" w:cs="Courier New" w:hint="default"/>
      </w:rPr>
    </w:lvl>
    <w:lvl w:ilvl="5" w:tplc="040B0005" w:tentative="1">
      <w:start w:val="1"/>
      <w:numFmt w:val="bullet"/>
      <w:lvlText w:val=""/>
      <w:lvlJc w:val="left"/>
      <w:pPr>
        <w:ind w:left="4374" w:hanging="360"/>
      </w:pPr>
      <w:rPr>
        <w:rFonts w:ascii="Wingdings" w:hAnsi="Wingdings" w:hint="default"/>
      </w:rPr>
    </w:lvl>
    <w:lvl w:ilvl="6" w:tplc="040B0001" w:tentative="1">
      <w:start w:val="1"/>
      <w:numFmt w:val="bullet"/>
      <w:lvlText w:val=""/>
      <w:lvlJc w:val="left"/>
      <w:pPr>
        <w:ind w:left="5094" w:hanging="360"/>
      </w:pPr>
      <w:rPr>
        <w:rFonts w:ascii="Symbol" w:hAnsi="Symbol" w:hint="default"/>
      </w:rPr>
    </w:lvl>
    <w:lvl w:ilvl="7" w:tplc="040B0003" w:tentative="1">
      <w:start w:val="1"/>
      <w:numFmt w:val="bullet"/>
      <w:lvlText w:val="o"/>
      <w:lvlJc w:val="left"/>
      <w:pPr>
        <w:ind w:left="5814" w:hanging="360"/>
      </w:pPr>
      <w:rPr>
        <w:rFonts w:ascii="Courier New" w:hAnsi="Courier New" w:cs="Courier New" w:hint="default"/>
      </w:rPr>
    </w:lvl>
    <w:lvl w:ilvl="8" w:tplc="040B0005" w:tentative="1">
      <w:start w:val="1"/>
      <w:numFmt w:val="bullet"/>
      <w:lvlText w:val=""/>
      <w:lvlJc w:val="left"/>
      <w:pPr>
        <w:ind w:left="6534" w:hanging="360"/>
      </w:pPr>
      <w:rPr>
        <w:rFonts w:ascii="Wingdings" w:hAnsi="Wingdings" w:hint="default"/>
      </w:rPr>
    </w:lvl>
  </w:abstractNum>
  <w:abstractNum w:abstractNumId="28" w15:restartNumberingAfterBreak="0">
    <w:nsid w:val="45D00F4B"/>
    <w:multiLevelType w:val="hybridMultilevel"/>
    <w:tmpl w:val="C6B8FF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5EF35DE"/>
    <w:multiLevelType w:val="hybridMultilevel"/>
    <w:tmpl w:val="8AD0F21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hint="default"/>
      </w:rPr>
    </w:lvl>
    <w:lvl w:ilvl="1" w:tplc="FD6E0CF0">
      <w:numFmt w:val="bullet"/>
      <w:lvlText w:val="•"/>
      <w:lvlJc w:val="left"/>
      <w:pPr>
        <w:tabs>
          <w:tab w:val="num" w:pos="1440"/>
        </w:tabs>
        <w:ind w:left="1440" w:hanging="360"/>
      </w:pPr>
      <w:rPr>
        <w:rFonts w:ascii="Arial" w:hAnsi="Arial" w:hint="default"/>
      </w:rPr>
    </w:lvl>
    <w:lvl w:ilvl="2" w:tplc="BB7893E8">
      <w:numFmt w:val="bullet"/>
      <w:lvlText w:val="•"/>
      <w:lvlJc w:val="left"/>
      <w:pPr>
        <w:tabs>
          <w:tab w:val="num" w:pos="2160"/>
        </w:tabs>
        <w:ind w:left="2160" w:hanging="360"/>
      </w:pPr>
      <w:rPr>
        <w:rFonts w:ascii="Arial" w:hAnsi="Arial" w:hint="default"/>
      </w:rPr>
    </w:lvl>
    <w:lvl w:ilvl="3" w:tplc="AA808D66" w:tentative="1">
      <w:start w:val="1"/>
      <w:numFmt w:val="bullet"/>
      <w:lvlText w:val="•"/>
      <w:lvlJc w:val="left"/>
      <w:pPr>
        <w:tabs>
          <w:tab w:val="num" w:pos="2880"/>
        </w:tabs>
        <w:ind w:left="2880" w:hanging="360"/>
      </w:pPr>
      <w:rPr>
        <w:rFonts w:ascii="Arial" w:hAnsi="Arial" w:hint="default"/>
      </w:rPr>
    </w:lvl>
    <w:lvl w:ilvl="4" w:tplc="282C951C" w:tentative="1">
      <w:start w:val="1"/>
      <w:numFmt w:val="bullet"/>
      <w:lvlText w:val="•"/>
      <w:lvlJc w:val="left"/>
      <w:pPr>
        <w:tabs>
          <w:tab w:val="num" w:pos="3600"/>
        </w:tabs>
        <w:ind w:left="3600" w:hanging="360"/>
      </w:pPr>
      <w:rPr>
        <w:rFonts w:ascii="Arial" w:hAnsi="Arial" w:hint="default"/>
      </w:rPr>
    </w:lvl>
    <w:lvl w:ilvl="5" w:tplc="F2B0073A" w:tentative="1">
      <w:start w:val="1"/>
      <w:numFmt w:val="bullet"/>
      <w:lvlText w:val="•"/>
      <w:lvlJc w:val="left"/>
      <w:pPr>
        <w:tabs>
          <w:tab w:val="num" w:pos="4320"/>
        </w:tabs>
        <w:ind w:left="4320" w:hanging="360"/>
      </w:pPr>
      <w:rPr>
        <w:rFonts w:ascii="Arial" w:hAnsi="Arial" w:hint="default"/>
      </w:rPr>
    </w:lvl>
    <w:lvl w:ilvl="6" w:tplc="BC580DD8" w:tentative="1">
      <w:start w:val="1"/>
      <w:numFmt w:val="bullet"/>
      <w:lvlText w:val="•"/>
      <w:lvlJc w:val="left"/>
      <w:pPr>
        <w:tabs>
          <w:tab w:val="num" w:pos="5040"/>
        </w:tabs>
        <w:ind w:left="5040" w:hanging="360"/>
      </w:pPr>
      <w:rPr>
        <w:rFonts w:ascii="Arial" w:hAnsi="Arial" w:hint="default"/>
      </w:rPr>
    </w:lvl>
    <w:lvl w:ilvl="7" w:tplc="965A971A" w:tentative="1">
      <w:start w:val="1"/>
      <w:numFmt w:val="bullet"/>
      <w:lvlText w:val="•"/>
      <w:lvlJc w:val="left"/>
      <w:pPr>
        <w:tabs>
          <w:tab w:val="num" w:pos="5760"/>
        </w:tabs>
        <w:ind w:left="5760" w:hanging="360"/>
      </w:pPr>
      <w:rPr>
        <w:rFonts w:ascii="Arial" w:hAnsi="Arial" w:hint="default"/>
      </w:rPr>
    </w:lvl>
    <w:lvl w:ilvl="8" w:tplc="2B68AF2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89D625D"/>
    <w:multiLevelType w:val="hybridMultilevel"/>
    <w:tmpl w:val="A76ECBB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498C55BC"/>
    <w:multiLevelType w:val="hybridMultilevel"/>
    <w:tmpl w:val="B6A44BDE"/>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33" w15:restartNumberingAfterBreak="0">
    <w:nsid w:val="4AAF551D"/>
    <w:multiLevelType w:val="hybridMultilevel"/>
    <w:tmpl w:val="DF36D740"/>
    <w:lvl w:ilvl="0" w:tplc="48647276">
      <w:start w:val="1"/>
      <w:numFmt w:val="bullet"/>
      <w:lvlText w:val="•"/>
      <w:lvlJc w:val="left"/>
      <w:pPr>
        <w:tabs>
          <w:tab w:val="num" w:pos="720"/>
        </w:tabs>
        <w:ind w:left="720" w:hanging="360"/>
      </w:pPr>
      <w:rPr>
        <w:rFonts w:ascii="Arial" w:hAnsi="Arial" w:cs="Times New Roman" w:hint="default"/>
      </w:rPr>
    </w:lvl>
    <w:lvl w:ilvl="1" w:tplc="BB4AB02A">
      <w:start w:val="9946"/>
      <w:numFmt w:val="bullet"/>
      <w:lvlText w:val="–"/>
      <w:lvlJc w:val="left"/>
      <w:pPr>
        <w:tabs>
          <w:tab w:val="num" w:pos="1440"/>
        </w:tabs>
        <w:ind w:left="1440" w:hanging="360"/>
      </w:pPr>
      <w:rPr>
        <w:rFonts w:ascii="Arial" w:hAnsi="Arial" w:cs="Times New Roman" w:hint="default"/>
      </w:rPr>
    </w:lvl>
    <w:lvl w:ilvl="2" w:tplc="CD5AA02C">
      <w:start w:val="9946"/>
      <w:numFmt w:val="bullet"/>
      <w:lvlText w:val="•"/>
      <w:lvlJc w:val="left"/>
      <w:pPr>
        <w:tabs>
          <w:tab w:val="num" w:pos="2160"/>
        </w:tabs>
        <w:ind w:left="2160" w:hanging="360"/>
      </w:pPr>
      <w:rPr>
        <w:rFonts w:ascii="Arial" w:hAnsi="Arial" w:cs="Times New Roman" w:hint="default"/>
      </w:rPr>
    </w:lvl>
    <w:lvl w:ilvl="3" w:tplc="4FE6AC50">
      <w:start w:val="1"/>
      <w:numFmt w:val="bullet"/>
      <w:lvlText w:val="•"/>
      <w:lvlJc w:val="left"/>
      <w:pPr>
        <w:tabs>
          <w:tab w:val="num" w:pos="2880"/>
        </w:tabs>
        <w:ind w:left="2880" w:hanging="360"/>
      </w:pPr>
      <w:rPr>
        <w:rFonts w:ascii="Arial" w:hAnsi="Arial" w:cs="Times New Roman" w:hint="default"/>
      </w:rPr>
    </w:lvl>
    <w:lvl w:ilvl="4" w:tplc="0198A4B8">
      <w:start w:val="1"/>
      <w:numFmt w:val="bullet"/>
      <w:lvlText w:val="•"/>
      <w:lvlJc w:val="left"/>
      <w:pPr>
        <w:tabs>
          <w:tab w:val="num" w:pos="3600"/>
        </w:tabs>
        <w:ind w:left="3600" w:hanging="360"/>
      </w:pPr>
      <w:rPr>
        <w:rFonts w:ascii="Arial" w:hAnsi="Arial" w:cs="Times New Roman" w:hint="default"/>
      </w:rPr>
    </w:lvl>
    <w:lvl w:ilvl="5" w:tplc="C38EACFE">
      <w:start w:val="1"/>
      <w:numFmt w:val="bullet"/>
      <w:lvlText w:val="•"/>
      <w:lvlJc w:val="left"/>
      <w:pPr>
        <w:tabs>
          <w:tab w:val="num" w:pos="4320"/>
        </w:tabs>
        <w:ind w:left="4320" w:hanging="360"/>
      </w:pPr>
      <w:rPr>
        <w:rFonts w:ascii="Arial" w:hAnsi="Arial" w:cs="Times New Roman" w:hint="default"/>
      </w:rPr>
    </w:lvl>
    <w:lvl w:ilvl="6" w:tplc="3B1891FC">
      <w:start w:val="1"/>
      <w:numFmt w:val="bullet"/>
      <w:lvlText w:val="•"/>
      <w:lvlJc w:val="left"/>
      <w:pPr>
        <w:tabs>
          <w:tab w:val="num" w:pos="5040"/>
        </w:tabs>
        <w:ind w:left="5040" w:hanging="360"/>
      </w:pPr>
      <w:rPr>
        <w:rFonts w:ascii="Arial" w:hAnsi="Arial" w:cs="Times New Roman" w:hint="default"/>
      </w:rPr>
    </w:lvl>
    <w:lvl w:ilvl="7" w:tplc="EAE886D4">
      <w:start w:val="1"/>
      <w:numFmt w:val="bullet"/>
      <w:lvlText w:val="•"/>
      <w:lvlJc w:val="left"/>
      <w:pPr>
        <w:tabs>
          <w:tab w:val="num" w:pos="5760"/>
        </w:tabs>
        <w:ind w:left="5760" w:hanging="360"/>
      </w:pPr>
      <w:rPr>
        <w:rFonts w:ascii="Arial" w:hAnsi="Arial" w:cs="Times New Roman" w:hint="default"/>
      </w:rPr>
    </w:lvl>
    <w:lvl w:ilvl="8" w:tplc="1A74233E">
      <w:start w:val="1"/>
      <w:numFmt w:val="bullet"/>
      <w:lvlText w:val="•"/>
      <w:lvlJc w:val="left"/>
      <w:pPr>
        <w:tabs>
          <w:tab w:val="num" w:pos="6480"/>
        </w:tabs>
        <w:ind w:left="6480" w:hanging="360"/>
      </w:pPr>
      <w:rPr>
        <w:rFonts w:ascii="Arial" w:hAnsi="Arial" w:cs="Times New Roman" w:hint="default"/>
      </w:rPr>
    </w:lvl>
  </w:abstractNum>
  <w:abstractNum w:abstractNumId="34" w15:restartNumberingAfterBreak="0">
    <w:nsid w:val="4E7943B2"/>
    <w:multiLevelType w:val="hybridMultilevel"/>
    <w:tmpl w:val="B146664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50830236"/>
    <w:multiLevelType w:val="hybridMultilevel"/>
    <w:tmpl w:val="0EBA3444"/>
    <w:lvl w:ilvl="0" w:tplc="7842F228">
      <w:start w:val="1"/>
      <w:numFmt w:val="bullet"/>
      <w:lvlText w:val="•"/>
      <w:lvlJc w:val="left"/>
      <w:pPr>
        <w:tabs>
          <w:tab w:val="num" w:pos="720"/>
        </w:tabs>
        <w:ind w:left="720" w:hanging="360"/>
      </w:pPr>
      <w:rPr>
        <w:rFonts w:ascii="Arial" w:hAnsi="Arial" w:hint="default"/>
      </w:rPr>
    </w:lvl>
    <w:lvl w:ilvl="1" w:tplc="69240422" w:tentative="1">
      <w:start w:val="1"/>
      <w:numFmt w:val="bullet"/>
      <w:lvlText w:val="•"/>
      <w:lvlJc w:val="left"/>
      <w:pPr>
        <w:tabs>
          <w:tab w:val="num" w:pos="1440"/>
        </w:tabs>
        <w:ind w:left="1440" w:hanging="360"/>
      </w:pPr>
      <w:rPr>
        <w:rFonts w:ascii="Arial" w:hAnsi="Arial" w:hint="default"/>
      </w:rPr>
    </w:lvl>
    <w:lvl w:ilvl="2" w:tplc="F3B0409E" w:tentative="1">
      <w:start w:val="1"/>
      <w:numFmt w:val="bullet"/>
      <w:lvlText w:val="•"/>
      <w:lvlJc w:val="left"/>
      <w:pPr>
        <w:tabs>
          <w:tab w:val="num" w:pos="2160"/>
        </w:tabs>
        <w:ind w:left="2160" w:hanging="360"/>
      </w:pPr>
      <w:rPr>
        <w:rFonts w:ascii="Arial" w:hAnsi="Arial" w:hint="default"/>
      </w:rPr>
    </w:lvl>
    <w:lvl w:ilvl="3" w:tplc="389E83B6" w:tentative="1">
      <w:start w:val="1"/>
      <w:numFmt w:val="bullet"/>
      <w:lvlText w:val="•"/>
      <w:lvlJc w:val="left"/>
      <w:pPr>
        <w:tabs>
          <w:tab w:val="num" w:pos="2880"/>
        </w:tabs>
        <w:ind w:left="2880" w:hanging="360"/>
      </w:pPr>
      <w:rPr>
        <w:rFonts w:ascii="Arial" w:hAnsi="Arial" w:hint="default"/>
      </w:rPr>
    </w:lvl>
    <w:lvl w:ilvl="4" w:tplc="6960DE92" w:tentative="1">
      <w:start w:val="1"/>
      <w:numFmt w:val="bullet"/>
      <w:lvlText w:val="•"/>
      <w:lvlJc w:val="left"/>
      <w:pPr>
        <w:tabs>
          <w:tab w:val="num" w:pos="3600"/>
        </w:tabs>
        <w:ind w:left="3600" w:hanging="360"/>
      </w:pPr>
      <w:rPr>
        <w:rFonts w:ascii="Arial" w:hAnsi="Arial" w:hint="default"/>
      </w:rPr>
    </w:lvl>
    <w:lvl w:ilvl="5" w:tplc="4B5093B2" w:tentative="1">
      <w:start w:val="1"/>
      <w:numFmt w:val="bullet"/>
      <w:lvlText w:val="•"/>
      <w:lvlJc w:val="left"/>
      <w:pPr>
        <w:tabs>
          <w:tab w:val="num" w:pos="4320"/>
        </w:tabs>
        <w:ind w:left="4320" w:hanging="360"/>
      </w:pPr>
      <w:rPr>
        <w:rFonts w:ascii="Arial" w:hAnsi="Arial" w:hint="default"/>
      </w:rPr>
    </w:lvl>
    <w:lvl w:ilvl="6" w:tplc="A58441AC" w:tentative="1">
      <w:start w:val="1"/>
      <w:numFmt w:val="bullet"/>
      <w:lvlText w:val="•"/>
      <w:lvlJc w:val="left"/>
      <w:pPr>
        <w:tabs>
          <w:tab w:val="num" w:pos="5040"/>
        </w:tabs>
        <w:ind w:left="5040" w:hanging="360"/>
      </w:pPr>
      <w:rPr>
        <w:rFonts w:ascii="Arial" w:hAnsi="Arial" w:hint="default"/>
      </w:rPr>
    </w:lvl>
    <w:lvl w:ilvl="7" w:tplc="D6365FFE" w:tentative="1">
      <w:start w:val="1"/>
      <w:numFmt w:val="bullet"/>
      <w:lvlText w:val="•"/>
      <w:lvlJc w:val="left"/>
      <w:pPr>
        <w:tabs>
          <w:tab w:val="num" w:pos="5760"/>
        </w:tabs>
        <w:ind w:left="5760" w:hanging="360"/>
      </w:pPr>
      <w:rPr>
        <w:rFonts w:ascii="Arial" w:hAnsi="Arial" w:hint="default"/>
      </w:rPr>
    </w:lvl>
    <w:lvl w:ilvl="8" w:tplc="0BFE82F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7" w15:restartNumberingAfterBreak="0">
    <w:nsid w:val="57633AAE"/>
    <w:multiLevelType w:val="hybridMultilevel"/>
    <w:tmpl w:val="2272BD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F9EF55C">
      <w:numFmt w:val="bullet"/>
      <w:lvlText w:val="–"/>
      <w:lvlJc w:val="left"/>
      <w:pPr>
        <w:ind w:left="2205" w:hanging="405"/>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8FB5957"/>
    <w:multiLevelType w:val="hybridMultilevel"/>
    <w:tmpl w:val="4DDC516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5B965D33"/>
    <w:multiLevelType w:val="hybridMultilevel"/>
    <w:tmpl w:val="8D88452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5BA22F6F"/>
    <w:multiLevelType w:val="hybridMultilevel"/>
    <w:tmpl w:val="2C04E43A"/>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1" w15:restartNumberingAfterBreak="0">
    <w:nsid w:val="5D165A00"/>
    <w:multiLevelType w:val="hybridMultilevel"/>
    <w:tmpl w:val="F3F24B2E"/>
    <w:lvl w:ilvl="0" w:tplc="040B0017">
      <w:start w:val="1"/>
      <w:numFmt w:val="lowerLetter"/>
      <w:lvlText w:val="%1)"/>
      <w:lvlJc w:val="left"/>
      <w:pPr>
        <w:ind w:left="1004" w:hanging="360"/>
      </w:pPr>
      <w:rPr>
        <w:rFonts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42" w15:restartNumberingAfterBreak="0">
    <w:nsid w:val="5E966925"/>
    <w:multiLevelType w:val="hybridMultilevel"/>
    <w:tmpl w:val="D9529630"/>
    <w:lvl w:ilvl="0" w:tplc="4C8ADA8A">
      <w:start w:val="1"/>
      <w:numFmt w:val="bullet"/>
      <w:lvlText w:val="•"/>
      <w:lvlJc w:val="left"/>
      <w:pPr>
        <w:tabs>
          <w:tab w:val="num" w:pos="346"/>
        </w:tabs>
        <w:ind w:left="346" w:hanging="360"/>
      </w:pPr>
      <w:rPr>
        <w:rFonts w:ascii="Arial" w:hAnsi="Arial" w:cs="Times New Roman" w:hint="default"/>
      </w:rPr>
    </w:lvl>
    <w:lvl w:ilvl="1" w:tplc="7AA8244A">
      <w:numFmt w:val="bullet"/>
      <w:lvlText w:val="•"/>
      <w:lvlJc w:val="left"/>
      <w:pPr>
        <w:tabs>
          <w:tab w:val="num" w:pos="1066"/>
        </w:tabs>
        <w:ind w:left="1066" w:hanging="360"/>
      </w:pPr>
      <w:rPr>
        <w:rFonts w:ascii="Arial" w:hAnsi="Arial" w:cs="Times New Roman" w:hint="default"/>
      </w:rPr>
    </w:lvl>
    <w:lvl w:ilvl="2" w:tplc="6DEEE1E8">
      <w:numFmt w:val="bullet"/>
      <w:lvlText w:val="•"/>
      <w:lvlJc w:val="left"/>
      <w:pPr>
        <w:tabs>
          <w:tab w:val="num" w:pos="1786"/>
        </w:tabs>
        <w:ind w:left="1786" w:hanging="360"/>
      </w:pPr>
      <w:rPr>
        <w:rFonts w:ascii="Arial" w:hAnsi="Arial" w:cs="Times New Roman" w:hint="default"/>
      </w:rPr>
    </w:lvl>
    <w:lvl w:ilvl="3" w:tplc="2408CBA8">
      <w:start w:val="1"/>
      <w:numFmt w:val="bullet"/>
      <w:lvlText w:val="•"/>
      <w:lvlJc w:val="left"/>
      <w:pPr>
        <w:tabs>
          <w:tab w:val="num" w:pos="2506"/>
        </w:tabs>
        <w:ind w:left="2506" w:hanging="360"/>
      </w:pPr>
      <w:rPr>
        <w:rFonts w:ascii="Arial" w:hAnsi="Arial" w:cs="Times New Roman" w:hint="default"/>
      </w:rPr>
    </w:lvl>
    <w:lvl w:ilvl="4" w:tplc="85FED290">
      <w:start w:val="1"/>
      <w:numFmt w:val="bullet"/>
      <w:lvlText w:val="•"/>
      <w:lvlJc w:val="left"/>
      <w:pPr>
        <w:tabs>
          <w:tab w:val="num" w:pos="3226"/>
        </w:tabs>
        <w:ind w:left="3226" w:hanging="360"/>
      </w:pPr>
      <w:rPr>
        <w:rFonts w:ascii="Arial" w:hAnsi="Arial" w:cs="Times New Roman" w:hint="default"/>
      </w:rPr>
    </w:lvl>
    <w:lvl w:ilvl="5" w:tplc="7318E99E">
      <w:start w:val="1"/>
      <w:numFmt w:val="bullet"/>
      <w:lvlText w:val="•"/>
      <w:lvlJc w:val="left"/>
      <w:pPr>
        <w:tabs>
          <w:tab w:val="num" w:pos="3946"/>
        </w:tabs>
        <w:ind w:left="3946" w:hanging="360"/>
      </w:pPr>
      <w:rPr>
        <w:rFonts w:ascii="Arial" w:hAnsi="Arial" w:cs="Times New Roman" w:hint="default"/>
      </w:rPr>
    </w:lvl>
    <w:lvl w:ilvl="6" w:tplc="0FF0F018">
      <w:start w:val="1"/>
      <w:numFmt w:val="bullet"/>
      <w:lvlText w:val="•"/>
      <w:lvlJc w:val="left"/>
      <w:pPr>
        <w:tabs>
          <w:tab w:val="num" w:pos="4666"/>
        </w:tabs>
        <w:ind w:left="4666" w:hanging="360"/>
      </w:pPr>
      <w:rPr>
        <w:rFonts w:ascii="Arial" w:hAnsi="Arial" w:cs="Times New Roman" w:hint="default"/>
      </w:rPr>
    </w:lvl>
    <w:lvl w:ilvl="7" w:tplc="5250324A">
      <w:start w:val="1"/>
      <w:numFmt w:val="bullet"/>
      <w:lvlText w:val="•"/>
      <w:lvlJc w:val="left"/>
      <w:pPr>
        <w:tabs>
          <w:tab w:val="num" w:pos="5386"/>
        </w:tabs>
        <w:ind w:left="5386" w:hanging="360"/>
      </w:pPr>
      <w:rPr>
        <w:rFonts w:ascii="Arial" w:hAnsi="Arial" w:cs="Times New Roman" w:hint="default"/>
      </w:rPr>
    </w:lvl>
    <w:lvl w:ilvl="8" w:tplc="9068572A">
      <w:start w:val="1"/>
      <w:numFmt w:val="bullet"/>
      <w:lvlText w:val="•"/>
      <w:lvlJc w:val="left"/>
      <w:pPr>
        <w:tabs>
          <w:tab w:val="num" w:pos="6106"/>
        </w:tabs>
        <w:ind w:left="6106" w:hanging="360"/>
      </w:pPr>
      <w:rPr>
        <w:rFonts w:ascii="Arial" w:hAnsi="Arial" w:cs="Times New Roman" w:hint="default"/>
      </w:rPr>
    </w:lvl>
  </w:abstractNum>
  <w:abstractNum w:abstractNumId="43" w15:restartNumberingAfterBreak="0">
    <w:nsid w:val="6AE10B18"/>
    <w:multiLevelType w:val="hybridMultilevel"/>
    <w:tmpl w:val="2AC64B46"/>
    <w:lvl w:ilvl="0" w:tplc="2DE87A4C">
      <w:start w:val="1"/>
      <w:numFmt w:val="decimal"/>
      <w:lvlText w:val="%1."/>
      <w:lvlJc w:val="left"/>
      <w:pPr>
        <w:ind w:left="720" w:hanging="360"/>
      </w:pPr>
      <w:rPr>
        <w:rFonts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E673C90"/>
    <w:multiLevelType w:val="hybridMultilevel"/>
    <w:tmpl w:val="537C56FE"/>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5" w15:restartNumberingAfterBreak="0">
    <w:nsid w:val="6F90452B"/>
    <w:multiLevelType w:val="hybridMultilevel"/>
    <w:tmpl w:val="7D54719E"/>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6" w15:restartNumberingAfterBreak="0">
    <w:nsid w:val="70732A1E"/>
    <w:multiLevelType w:val="hybridMultilevel"/>
    <w:tmpl w:val="17F200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7" w15:restartNumberingAfterBreak="0">
    <w:nsid w:val="713D0238"/>
    <w:multiLevelType w:val="hybridMultilevel"/>
    <w:tmpl w:val="A35C9904"/>
    <w:lvl w:ilvl="0" w:tplc="040B0001">
      <w:start w:val="1"/>
      <w:numFmt w:val="bullet"/>
      <w:lvlText w:val=""/>
      <w:lvlJc w:val="left"/>
      <w:pPr>
        <w:ind w:left="2520" w:hanging="360"/>
      </w:pPr>
      <w:rPr>
        <w:rFonts w:ascii="Symbol" w:hAnsi="Symbol" w:hint="default"/>
      </w:rPr>
    </w:lvl>
    <w:lvl w:ilvl="1" w:tplc="040B0003" w:tentative="1">
      <w:start w:val="1"/>
      <w:numFmt w:val="bullet"/>
      <w:lvlText w:val="o"/>
      <w:lvlJc w:val="left"/>
      <w:pPr>
        <w:ind w:left="3240" w:hanging="360"/>
      </w:pPr>
      <w:rPr>
        <w:rFonts w:ascii="Courier New" w:hAnsi="Courier New" w:cs="Courier New" w:hint="default"/>
      </w:rPr>
    </w:lvl>
    <w:lvl w:ilvl="2" w:tplc="040B0005" w:tentative="1">
      <w:start w:val="1"/>
      <w:numFmt w:val="bullet"/>
      <w:lvlText w:val=""/>
      <w:lvlJc w:val="left"/>
      <w:pPr>
        <w:ind w:left="3960" w:hanging="360"/>
      </w:pPr>
      <w:rPr>
        <w:rFonts w:ascii="Wingdings" w:hAnsi="Wingdings" w:hint="default"/>
      </w:rPr>
    </w:lvl>
    <w:lvl w:ilvl="3" w:tplc="040B0001" w:tentative="1">
      <w:start w:val="1"/>
      <w:numFmt w:val="bullet"/>
      <w:lvlText w:val=""/>
      <w:lvlJc w:val="left"/>
      <w:pPr>
        <w:ind w:left="4680" w:hanging="360"/>
      </w:pPr>
      <w:rPr>
        <w:rFonts w:ascii="Symbol" w:hAnsi="Symbol" w:hint="default"/>
      </w:rPr>
    </w:lvl>
    <w:lvl w:ilvl="4" w:tplc="040B0003" w:tentative="1">
      <w:start w:val="1"/>
      <w:numFmt w:val="bullet"/>
      <w:lvlText w:val="o"/>
      <w:lvlJc w:val="left"/>
      <w:pPr>
        <w:ind w:left="5400" w:hanging="360"/>
      </w:pPr>
      <w:rPr>
        <w:rFonts w:ascii="Courier New" w:hAnsi="Courier New" w:cs="Courier New" w:hint="default"/>
      </w:rPr>
    </w:lvl>
    <w:lvl w:ilvl="5" w:tplc="040B0005" w:tentative="1">
      <w:start w:val="1"/>
      <w:numFmt w:val="bullet"/>
      <w:lvlText w:val=""/>
      <w:lvlJc w:val="left"/>
      <w:pPr>
        <w:ind w:left="6120" w:hanging="360"/>
      </w:pPr>
      <w:rPr>
        <w:rFonts w:ascii="Wingdings" w:hAnsi="Wingdings" w:hint="default"/>
      </w:rPr>
    </w:lvl>
    <w:lvl w:ilvl="6" w:tplc="040B0001" w:tentative="1">
      <w:start w:val="1"/>
      <w:numFmt w:val="bullet"/>
      <w:lvlText w:val=""/>
      <w:lvlJc w:val="left"/>
      <w:pPr>
        <w:ind w:left="6840" w:hanging="360"/>
      </w:pPr>
      <w:rPr>
        <w:rFonts w:ascii="Symbol" w:hAnsi="Symbol" w:hint="default"/>
      </w:rPr>
    </w:lvl>
    <w:lvl w:ilvl="7" w:tplc="040B0003" w:tentative="1">
      <w:start w:val="1"/>
      <w:numFmt w:val="bullet"/>
      <w:lvlText w:val="o"/>
      <w:lvlJc w:val="left"/>
      <w:pPr>
        <w:ind w:left="7560" w:hanging="360"/>
      </w:pPr>
      <w:rPr>
        <w:rFonts w:ascii="Courier New" w:hAnsi="Courier New" w:cs="Courier New" w:hint="default"/>
      </w:rPr>
    </w:lvl>
    <w:lvl w:ilvl="8" w:tplc="040B0005" w:tentative="1">
      <w:start w:val="1"/>
      <w:numFmt w:val="bullet"/>
      <w:lvlText w:val=""/>
      <w:lvlJc w:val="left"/>
      <w:pPr>
        <w:ind w:left="8280" w:hanging="360"/>
      </w:pPr>
      <w:rPr>
        <w:rFonts w:ascii="Wingdings" w:hAnsi="Wingdings" w:hint="default"/>
      </w:rPr>
    </w:lvl>
  </w:abstractNum>
  <w:abstractNum w:abstractNumId="48" w15:restartNumberingAfterBreak="0">
    <w:nsid w:val="7C440DE4"/>
    <w:multiLevelType w:val="hybridMultilevel"/>
    <w:tmpl w:val="2C04E43A"/>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abstractNumId w:val="19"/>
  </w:num>
  <w:num w:numId="2">
    <w:abstractNumId w:val="37"/>
  </w:num>
  <w:num w:numId="3">
    <w:abstractNumId w:val="5"/>
  </w:num>
  <w:num w:numId="4">
    <w:abstractNumId w:val="36"/>
  </w:num>
  <w:num w:numId="5">
    <w:abstractNumId w:val="24"/>
  </w:num>
  <w:num w:numId="6">
    <w:abstractNumId w:val="46"/>
  </w:num>
  <w:num w:numId="7">
    <w:abstractNumId w:val="1"/>
  </w:num>
  <w:num w:numId="8">
    <w:abstractNumId w:val="26"/>
  </w:num>
  <w:num w:numId="9">
    <w:abstractNumId w:val="31"/>
  </w:num>
  <w:num w:numId="10">
    <w:abstractNumId w:val="7"/>
  </w:num>
  <w:num w:numId="11">
    <w:abstractNumId w:val="29"/>
  </w:num>
  <w:num w:numId="12">
    <w:abstractNumId w:val="22"/>
  </w:num>
  <w:num w:numId="13">
    <w:abstractNumId w:val="23"/>
  </w:num>
  <w:num w:numId="14">
    <w:abstractNumId w:val="32"/>
  </w:num>
  <w:num w:numId="15">
    <w:abstractNumId w:val="17"/>
  </w:num>
  <w:num w:numId="16">
    <w:abstractNumId w:val="9"/>
  </w:num>
  <w:num w:numId="17">
    <w:abstractNumId w:val="34"/>
  </w:num>
  <w:num w:numId="18">
    <w:abstractNumId w:val="39"/>
  </w:num>
  <w:num w:numId="19">
    <w:abstractNumId w:val="30"/>
  </w:num>
  <w:num w:numId="20">
    <w:abstractNumId w:val="35"/>
  </w:num>
  <w:num w:numId="21">
    <w:abstractNumId w:val="33"/>
  </w:num>
  <w:num w:numId="22">
    <w:abstractNumId w:val="20"/>
  </w:num>
  <w:num w:numId="23">
    <w:abstractNumId w:val="42"/>
  </w:num>
  <w:num w:numId="24">
    <w:abstractNumId w:val="25"/>
  </w:num>
  <w:num w:numId="25">
    <w:abstractNumId w:val="15"/>
  </w:num>
  <w:num w:numId="26">
    <w:abstractNumId w:val="40"/>
  </w:num>
  <w:num w:numId="27">
    <w:abstractNumId w:val="8"/>
  </w:num>
  <w:num w:numId="28">
    <w:abstractNumId w:val="21"/>
  </w:num>
  <w:num w:numId="29">
    <w:abstractNumId w:val="48"/>
  </w:num>
  <w:num w:numId="30">
    <w:abstractNumId w:val="38"/>
  </w:num>
  <w:num w:numId="31">
    <w:abstractNumId w:val="4"/>
  </w:num>
  <w:num w:numId="32">
    <w:abstractNumId w:val="41"/>
  </w:num>
  <w:num w:numId="33">
    <w:abstractNumId w:val="2"/>
  </w:num>
  <w:num w:numId="34">
    <w:abstractNumId w:val="14"/>
  </w:num>
  <w:num w:numId="35">
    <w:abstractNumId w:val="13"/>
  </w:num>
  <w:num w:numId="36">
    <w:abstractNumId w:val="0"/>
  </w:num>
  <w:num w:numId="37">
    <w:abstractNumId w:val="12"/>
  </w:num>
  <w:num w:numId="38">
    <w:abstractNumId w:val="16"/>
  </w:num>
  <w:num w:numId="39">
    <w:abstractNumId w:val="43"/>
  </w:num>
  <w:num w:numId="40">
    <w:abstractNumId w:val="11"/>
  </w:num>
  <w:num w:numId="41">
    <w:abstractNumId w:val="45"/>
  </w:num>
  <w:num w:numId="42">
    <w:abstractNumId w:val="27"/>
  </w:num>
  <w:num w:numId="43">
    <w:abstractNumId w:val="10"/>
  </w:num>
  <w:num w:numId="44">
    <w:abstractNumId w:val="47"/>
  </w:num>
  <w:num w:numId="45">
    <w:abstractNumId w:val="28"/>
  </w:num>
  <w:num w:numId="46">
    <w:abstractNumId w:val="44"/>
  </w:num>
  <w:num w:numId="47">
    <w:abstractNumId w:val="18"/>
  </w:num>
  <w:num w:numId="48">
    <w:abstractNumId w:val="3"/>
  </w:num>
  <w:num w:numId="49">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US" w:vendorID="64" w:dllVersion="6" w:nlCheck="1" w:checkStyle="0"/>
  <w:activeWritingStyle w:appName="MSWord" w:lang="en-GB" w:vendorID="64" w:dllVersion="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1FA9"/>
    <w:rsid w:val="000021F9"/>
    <w:rsid w:val="00004AC8"/>
    <w:rsid w:val="00006055"/>
    <w:rsid w:val="000065E7"/>
    <w:rsid w:val="00006AD4"/>
    <w:rsid w:val="000074C4"/>
    <w:rsid w:val="000079A6"/>
    <w:rsid w:val="00011BB2"/>
    <w:rsid w:val="00011EF2"/>
    <w:rsid w:val="00012505"/>
    <w:rsid w:val="00012C4F"/>
    <w:rsid w:val="00012DD9"/>
    <w:rsid w:val="000131D1"/>
    <w:rsid w:val="00013455"/>
    <w:rsid w:val="000134E3"/>
    <w:rsid w:val="00013632"/>
    <w:rsid w:val="000137FC"/>
    <w:rsid w:val="00013F5E"/>
    <w:rsid w:val="0001403F"/>
    <w:rsid w:val="00014091"/>
    <w:rsid w:val="0001411B"/>
    <w:rsid w:val="000146BD"/>
    <w:rsid w:val="0001487F"/>
    <w:rsid w:val="00014F35"/>
    <w:rsid w:val="00015F98"/>
    <w:rsid w:val="00016637"/>
    <w:rsid w:val="000166AC"/>
    <w:rsid w:val="00017B7F"/>
    <w:rsid w:val="00017EDA"/>
    <w:rsid w:val="000215BE"/>
    <w:rsid w:val="00021662"/>
    <w:rsid w:val="00022DCB"/>
    <w:rsid w:val="00023742"/>
    <w:rsid w:val="00024AEF"/>
    <w:rsid w:val="00026C65"/>
    <w:rsid w:val="00027755"/>
    <w:rsid w:val="000277A9"/>
    <w:rsid w:val="00030048"/>
    <w:rsid w:val="0003072D"/>
    <w:rsid w:val="000314CD"/>
    <w:rsid w:val="0003163F"/>
    <w:rsid w:val="000317E7"/>
    <w:rsid w:val="00032D37"/>
    <w:rsid w:val="00033544"/>
    <w:rsid w:val="0003479E"/>
    <w:rsid w:val="0003484F"/>
    <w:rsid w:val="00035691"/>
    <w:rsid w:val="00035AE0"/>
    <w:rsid w:val="000360FE"/>
    <w:rsid w:val="0004132D"/>
    <w:rsid w:val="00041358"/>
    <w:rsid w:val="000425C9"/>
    <w:rsid w:val="000447D9"/>
    <w:rsid w:val="00044CFA"/>
    <w:rsid w:val="000459C7"/>
    <w:rsid w:val="00046630"/>
    <w:rsid w:val="00046C80"/>
    <w:rsid w:val="00046DD1"/>
    <w:rsid w:val="000474A4"/>
    <w:rsid w:val="000479CE"/>
    <w:rsid w:val="00047FFA"/>
    <w:rsid w:val="00050112"/>
    <w:rsid w:val="00050466"/>
    <w:rsid w:val="000505CC"/>
    <w:rsid w:val="000511F9"/>
    <w:rsid w:val="0005151E"/>
    <w:rsid w:val="000520B0"/>
    <w:rsid w:val="0005230E"/>
    <w:rsid w:val="00052850"/>
    <w:rsid w:val="000528A2"/>
    <w:rsid w:val="00052BBA"/>
    <w:rsid w:val="00054B59"/>
    <w:rsid w:val="00054D9D"/>
    <w:rsid w:val="00055676"/>
    <w:rsid w:val="0005581E"/>
    <w:rsid w:val="00056544"/>
    <w:rsid w:val="00057C54"/>
    <w:rsid w:val="00060269"/>
    <w:rsid w:val="00060D8E"/>
    <w:rsid w:val="00061F84"/>
    <w:rsid w:val="00062159"/>
    <w:rsid w:val="00062630"/>
    <w:rsid w:val="0006281A"/>
    <w:rsid w:val="000631B7"/>
    <w:rsid w:val="00063D9E"/>
    <w:rsid w:val="00064AD3"/>
    <w:rsid w:val="00065088"/>
    <w:rsid w:val="000652D3"/>
    <w:rsid w:val="000654A0"/>
    <w:rsid w:val="00066EE0"/>
    <w:rsid w:val="00067D46"/>
    <w:rsid w:val="000707CA"/>
    <w:rsid w:val="000707FF"/>
    <w:rsid w:val="000718F7"/>
    <w:rsid w:val="0007208A"/>
    <w:rsid w:val="00072BBA"/>
    <w:rsid w:val="00072CF5"/>
    <w:rsid w:val="00072FF5"/>
    <w:rsid w:val="00075FDA"/>
    <w:rsid w:val="00076386"/>
    <w:rsid w:val="00076D82"/>
    <w:rsid w:val="00077655"/>
    <w:rsid w:val="00080284"/>
    <w:rsid w:val="00081EC2"/>
    <w:rsid w:val="000823FE"/>
    <w:rsid w:val="000825E2"/>
    <w:rsid w:val="00082B41"/>
    <w:rsid w:val="00083800"/>
    <w:rsid w:val="00084A65"/>
    <w:rsid w:val="00085090"/>
    <w:rsid w:val="00086572"/>
    <w:rsid w:val="00090EDD"/>
    <w:rsid w:val="00091A92"/>
    <w:rsid w:val="00092E70"/>
    <w:rsid w:val="00093C49"/>
    <w:rsid w:val="00095A80"/>
    <w:rsid w:val="000973C8"/>
    <w:rsid w:val="000973E1"/>
    <w:rsid w:val="0009774C"/>
    <w:rsid w:val="000A1402"/>
    <w:rsid w:val="000A20BA"/>
    <w:rsid w:val="000A262C"/>
    <w:rsid w:val="000A38C0"/>
    <w:rsid w:val="000A3C8D"/>
    <w:rsid w:val="000A40EA"/>
    <w:rsid w:val="000A40EC"/>
    <w:rsid w:val="000A44E7"/>
    <w:rsid w:val="000A54EE"/>
    <w:rsid w:val="000A6A23"/>
    <w:rsid w:val="000A7BC5"/>
    <w:rsid w:val="000B0C45"/>
    <w:rsid w:val="000B0E07"/>
    <w:rsid w:val="000B1684"/>
    <w:rsid w:val="000B16DB"/>
    <w:rsid w:val="000B1C5E"/>
    <w:rsid w:val="000B2282"/>
    <w:rsid w:val="000B2A11"/>
    <w:rsid w:val="000B2A5B"/>
    <w:rsid w:val="000B36F4"/>
    <w:rsid w:val="000B3B91"/>
    <w:rsid w:val="000B5AC9"/>
    <w:rsid w:val="000B5F0A"/>
    <w:rsid w:val="000B68E5"/>
    <w:rsid w:val="000B7043"/>
    <w:rsid w:val="000C1D59"/>
    <w:rsid w:val="000C347C"/>
    <w:rsid w:val="000C4AEB"/>
    <w:rsid w:val="000C501D"/>
    <w:rsid w:val="000C74BA"/>
    <w:rsid w:val="000C7531"/>
    <w:rsid w:val="000C7C3F"/>
    <w:rsid w:val="000D0BD6"/>
    <w:rsid w:val="000D0C61"/>
    <w:rsid w:val="000D27AD"/>
    <w:rsid w:val="000D29D1"/>
    <w:rsid w:val="000D2B0A"/>
    <w:rsid w:val="000D3286"/>
    <w:rsid w:val="000D344D"/>
    <w:rsid w:val="000D40E7"/>
    <w:rsid w:val="000D4FD7"/>
    <w:rsid w:val="000D584F"/>
    <w:rsid w:val="000D6DCC"/>
    <w:rsid w:val="000D794A"/>
    <w:rsid w:val="000E071E"/>
    <w:rsid w:val="000E2357"/>
    <w:rsid w:val="000E27AA"/>
    <w:rsid w:val="000E337A"/>
    <w:rsid w:val="000E3456"/>
    <w:rsid w:val="000E4350"/>
    <w:rsid w:val="000E4408"/>
    <w:rsid w:val="000E5716"/>
    <w:rsid w:val="000E75EA"/>
    <w:rsid w:val="000E7A79"/>
    <w:rsid w:val="000F0E97"/>
    <w:rsid w:val="000F15B2"/>
    <w:rsid w:val="000F19DE"/>
    <w:rsid w:val="000F2E1F"/>
    <w:rsid w:val="000F37B0"/>
    <w:rsid w:val="000F4389"/>
    <w:rsid w:val="000F4595"/>
    <w:rsid w:val="000F45EC"/>
    <w:rsid w:val="000F46C5"/>
    <w:rsid w:val="000F4CB2"/>
    <w:rsid w:val="000F568D"/>
    <w:rsid w:val="000F6351"/>
    <w:rsid w:val="000F67CF"/>
    <w:rsid w:val="00101C4F"/>
    <w:rsid w:val="00102C9F"/>
    <w:rsid w:val="001036C8"/>
    <w:rsid w:val="001068D2"/>
    <w:rsid w:val="001103BD"/>
    <w:rsid w:val="00111208"/>
    <w:rsid w:val="00111808"/>
    <w:rsid w:val="0011339F"/>
    <w:rsid w:val="00114E96"/>
    <w:rsid w:val="00115828"/>
    <w:rsid w:val="0011644A"/>
    <w:rsid w:val="00117332"/>
    <w:rsid w:val="00117553"/>
    <w:rsid w:val="001204DD"/>
    <w:rsid w:val="00121D83"/>
    <w:rsid w:val="00122839"/>
    <w:rsid w:val="001237AC"/>
    <w:rsid w:val="00123FC0"/>
    <w:rsid w:val="00124665"/>
    <w:rsid w:val="00124DAF"/>
    <w:rsid w:val="00124E12"/>
    <w:rsid w:val="0012673D"/>
    <w:rsid w:val="001269B8"/>
    <w:rsid w:val="00127099"/>
    <w:rsid w:val="00132B71"/>
    <w:rsid w:val="0013427A"/>
    <w:rsid w:val="001362C2"/>
    <w:rsid w:val="001364DB"/>
    <w:rsid w:val="00136955"/>
    <w:rsid w:val="00136E19"/>
    <w:rsid w:val="001371B2"/>
    <w:rsid w:val="0013786F"/>
    <w:rsid w:val="00137873"/>
    <w:rsid w:val="00137D78"/>
    <w:rsid w:val="001409A0"/>
    <w:rsid w:val="00141125"/>
    <w:rsid w:val="00141F08"/>
    <w:rsid w:val="00141FF2"/>
    <w:rsid w:val="00142026"/>
    <w:rsid w:val="0014287A"/>
    <w:rsid w:val="00142DE2"/>
    <w:rsid w:val="00144C87"/>
    <w:rsid w:val="00146678"/>
    <w:rsid w:val="001467B1"/>
    <w:rsid w:val="00150175"/>
    <w:rsid w:val="001502C8"/>
    <w:rsid w:val="00151097"/>
    <w:rsid w:val="0015130F"/>
    <w:rsid w:val="00151892"/>
    <w:rsid w:val="001540E4"/>
    <w:rsid w:val="00155464"/>
    <w:rsid w:val="00155BFD"/>
    <w:rsid w:val="00157390"/>
    <w:rsid w:val="00160998"/>
    <w:rsid w:val="00160CD6"/>
    <w:rsid w:val="0016316A"/>
    <w:rsid w:val="00164171"/>
    <w:rsid w:val="00164DC9"/>
    <w:rsid w:val="00164E58"/>
    <w:rsid w:val="00165033"/>
    <w:rsid w:val="00165B18"/>
    <w:rsid w:val="001670EA"/>
    <w:rsid w:val="001674A0"/>
    <w:rsid w:val="00170205"/>
    <w:rsid w:val="00170A50"/>
    <w:rsid w:val="0017157A"/>
    <w:rsid w:val="00171F0C"/>
    <w:rsid w:val="0017421B"/>
    <w:rsid w:val="00174FFD"/>
    <w:rsid w:val="001759CA"/>
    <w:rsid w:val="00176E51"/>
    <w:rsid w:val="0017726A"/>
    <w:rsid w:val="00177A7B"/>
    <w:rsid w:val="00177B88"/>
    <w:rsid w:val="00177DD3"/>
    <w:rsid w:val="00180278"/>
    <w:rsid w:val="001818A7"/>
    <w:rsid w:val="00182725"/>
    <w:rsid w:val="001829C8"/>
    <w:rsid w:val="00182CA0"/>
    <w:rsid w:val="00183FB0"/>
    <w:rsid w:val="00184098"/>
    <w:rsid w:val="00185D8A"/>
    <w:rsid w:val="00186904"/>
    <w:rsid w:val="00186B0A"/>
    <w:rsid w:val="001905BD"/>
    <w:rsid w:val="00190946"/>
    <w:rsid w:val="001923CE"/>
    <w:rsid w:val="001925BD"/>
    <w:rsid w:val="00192699"/>
    <w:rsid w:val="00192FE6"/>
    <w:rsid w:val="00193451"/>
    <w:rsid w:val="00193986"/>
    <w:rsid w:val="00193B08"/>
    <w:rsid w:val="0019435C"/>
    <w:rsid w:val="00194570"/>
    <w:rsid w:val="00196BF4"/>
    <w:rsid w:val="001972DA"/>
    <w:rsid w:val="001976AA"/>
    <w:rsid w:val="001A02F6"/>
    <w:rsid w:val="001A15C6"/>
    <w:rsid w:val="001A5E19"/>
    <w:rsid w:val="001B01FA"/>
    <w:rsid w:val="001B0832"/>
    <w:rsid w:val="001B10F3"/>
    <w:rsid w:val="001B18A7"/>
    <w:rsid w:val="001B1D02"/>
    <w:rsid w:val="001B25D9"/>
    <w:rsid w:val="001B2762"/>
    <w:rsid w:val="001B36FC"/>
    <w:rsid w:val="001B41ED"/>
    <w:rsid w:val="001B4607"/>
    <w:rsid w:val="001B4F86"/>
    <w:rsid w:val="001B5D72"/>
    <w:rsid w:val="001B69CA"/>
    <w:rsid w:val="001B7E0C"/>
    <w:rsid w:val="001C0674"/>
    <w:rsid w:val="001C18A9"/>
    <w:rsid w:val="001C226F"/>
    <w:rsid w:val="001C4130"/>
    <w:rsid w:val="001C52F3"/>
    <w:rsid w:val="001C66AC"/>
    <w:rsid w:val="001C6754"/>
    <w:rsid w:val="001C77F0"/>
    <w:rsid w:val="001C7A39"/>
    <w:rsid w:val="001D0A7B"/>
    <w:rsid w:val="001D1B8A"/>
    <w:rsid w:val="001D2304"/>
    <w:rsid w:val="001D2B7D"/>
    <w:rsid w:val="001D34CA"/>
    <w:rsid w:val="001D46A0"/>
    <w:rsid w:val="001D4E22"/>
    <w:rsid w:val="001D5FB0"/>
    <w:rsid w:val="001D689E"/>
    <w:rsid w:val="001D7CA4"/>
    <w:rsid w:val="001D7E58"/>
    <w:rsid w:val="001E1791"/>
    <w:rsid w:val="001E30A0"/>
    <w:rsid w:val="001E3F75"/>
    <w:rsid w:val="001E4D4F"/>
    <w:rsid w:val="001E57CF"/>
    <w:rsid w:val="001E5981"/>
    <w:rsid w:val="001E74BA"/>
    <w:rsid w:val="001E7B9F"/>
    <w:rsid w:val="001E7C2A"/>
    <w:rsid w:val="001F01FB"/>
    <w:rsid w:val="001F0658"/>
    <w:rsid w:val="001F0E92"/>
    <w:rsid w:val="001F1306"/>
    <w:rsid w:val="001F1987"/>
    <w:rsid w:val="001F23BD"/>
    <w:rsid w:val="001F34DA"/>
    <w:rsid w:val="001F4DAC"/>
    <w:rsid w:val="001F4E69"/>
    <w:rsid w:val="001F5019"/>
    <w:rsid w:val="001F53CA"/>
    <w:rsid w:val="001F650F"/>
    <w:rsid w:val="001F67AA"/>
    <w:rsid w:val="001F7599"/>
    <w:rsid w:val="00204B3A"/>
    <w:rsid w:val="00204E26"/>
    <w:rsid w:val="0020535A"/>
    <w:rsid w:val="00205F67"/>
    <w:rsid w:val="00206955"/>
    <w:rsid w:val="00210309"/>
    <w:rsid w:val="00210A97"/>
    <w:rsid w:val="00212FB8"/>
    <w:rsid w:val="00213709"/>
    <w:rsid w:val="002149AF"/>
    <w:rsid w:val="00214A86"/>
    <w:rsid w:val="00215664"/>
    <w:rsid w:val="00215AAA"/>
    <w:rsid w:val="0021683C"/>
    <w:rsid w:val="0022170C"/>
    <w:rsid w:val="00221985"/>
    <w:rsid w:val="00221EC5"/>
    <w:rsid w:val="00222A7A"/>
    <w:rsid w:val="00223C69"/>
    <w:rsid w:val="00224A2C"/>
    <w:rsid w:val="002256D9"/>
    <w:rsid w:val="00225FFF"/>
    <w:rsid w:val="0022687C"/>
    <w:rsid w:val="002269C0"/>
    <w:rsid w:val="00227BDA"/>
    <w:rsid w:val="002306F8"/>
    <w:rsid w:val="00230A0F"/>
    <w:rsid w:val="002312F4"/>
    <w:rsid w:val="002313A2"/>
    <w:rsid w:val="00231FC7"/>
    <w:rsid w:val="00232930"/>
    <w:rsid w:val="00232A95"/>
    <w:rsid w:val="00232DD9"/>
    <w:rsid w:val="00233403"/>
    <w:rsid w:val="00233440"/>
    <w:rsid w:val="00233500"/>
    <w:rsid w:val="00233938"/>
    <w:rsid w:val="00233D0E"/>
    <w:rsid w:val="00236450"/>
    <w:rsid w:val="0023765A"/>
    <w:rsid w:val="00237921"/>
    <w:rsid w:val="00241311"/>
    <w:rsid w:val="00242E22"/>
    <w:rsid w:val="0024336B"/>
    <w:rsid w:val="00244224"/>
    <w:rsid w:val="0024424F"/>
    <w:rsid w:val="00244D28"/>
    <w:rsid w:val="00245720"/>
    <w:rsid w:val="00245A6F"/>
    <w:rsid w:val="00245FD5"/>
    <w:rsid w:val="002465E4"/>
    <w:rsid w:val="00246932"/>
    <w:rsid w:val="00246C0C"/>
    <w:rsid w:val="002477DF"/>
    <w:rsid w:val="00250726"/>
    <w:rsid w:val="0025074A"/>
    <w:rsid w:val="00251AD6"/>
    <w:rsid w:val="00252BBC"/>
    <w:rsid w:val="00252C17"/>
    <w:rsid w:val="0025307F"/>
    <w:rsid w:val="002551BD"/>
    <w:rsid w:val="002568D0"/>
    <w:rsid w:val="00257FFB"/>
    <w:rsid w:val="0026198E"/>
    <w:rsid w:val="00262661"/>
    <w:rsid w:val="002632DF"/>
    <w:rsid w:val="0026400A"/>
    <w:rsid w:val="002640BA"/>
    <w:rsid w:val="00264CF2"/>
    <w:rsid w:val="00264F00"/>
    <w:rsid w:val="00266462"/>
    <w:rsid w:val="00267587"/>
    <w:rsid w:val="00270822"/>
    <w:rsid w:val="00271589"/>
    <w:rsid w:val="00273177"/>
    <w:rsid w:val="00275074"/>
    <w:rsid w:val="002763E9"/>
    <w:rsid w:val="00276736"/>
    <w:rsid w:val="00284C7E"/>
    <w:rsid w:val="00284E32"/>
    <w:rsid w:val="002851EB"/>
    <w:rsid w:val="00285510"/>
    <w:rsid w:val="00285BDD"/>
    <w:rsid w:val="00285DE2"/>
    <w:rsid w:val="0028616D"/>
    <w:rsid w:val="002865E2"/>
    <w:rsid w:val="00286965"/>
    <w:rsid w:val="002869D5"/>
    <w:rsid w:val="00286A43"/>
    <w:rsid w:val="00290CDD"/>
    <w:rsid w:val="0029136E"/>
    <w:rsid w:val="00292399"/>
    <w:rsid w:val="002935DC"/>
    <w:rsid w:val="00294445"/>
    <w:rsid w:val="00294B4D"/>
    <w:rsid w:val="00294E53"/>
    <w:rsid w:val="002960D5"/>
    <w:rsid w:val="00296371"/>
    <w:rsid w:val="0029687F"/>
    <w:rsid w:val="002A1062"/>
    <w:rsid w:val="002A2012"/>
    <w:rsid w:val="002A2413"/>
    <w:rsid w:val="002A2F5E"/>
    <w:rsid w:val="002A352A"/>
    <w:rsid w:val="002A607D"/>
    <w:rsid w:val="002A7D9C"/>
    <w:rsid w:val="002B132E"/>
    <w:rsid w:val="002B2813"/>
    <w:rsid w:val="002B2D29"/>
    <w:rsid w:val="002B3B5A"/>
    <w:rsid w:val="002B5DA0"/>
    <w:rsid w:val="002C0C4B"/>
    <w:rsid w:val="002C109A"/>
    <w:rsid w:val="002C1EEA"/>
    <w:rsid w:val="002C33E6"/>
    <w:rsid w:val="002C47AD"/>
    <w:rsid w:val="002C6034"/>
    <w:rsid w:val="002C635B"/>
    <w:rsid w:val="002C7CFF"/>
    <w:rsid w:val="002C7E35"/>
    <w:rsid w:val="002D0BC6"/>
    <w:rsid w:val="002D11F7"/>
    <w:rsid w:val="002D12F6"/>
    <w:rsid w:val="002D17C5"/>
    <w:rsid w:val="002D28E8"/>
    <w:rsid w:val="002D365F"/>
    <w:rsid w:val="002D406E"/>
    <w:rsid w:val="002D4FA1"/>
    <w:rsid w:val="002D4FD2"/>
    <w:rsid w:val="002D7C86"/>
    <w:rsid w:val="002E0692"/>
    <w:rsid w:val="002E1D74"/>
    <w:rsid w:val="002E2943"/>
    <w:rsid w:val="002E2CF1"/>
    <w:rsid w:val="002E34AF"/>
    <w:rsid w:val="002E4AAC"/>
    <w:rsid w:val="002E53DE"/>
    <w:rsid w:val="002E563B"/>
    <w:rsid w:val="002E62D2"/>
    <w:rsid w:val="002E74AF"/>
    <w:rsid w:val="002E758C"/>
    <w:rsid w:val="002F1038"/>
    <w:rsid w:val="002F1B80"/>
    <w:rsid w:val="002F22FF"/>
    <w:rsid w:val="002F2D8F"/>
    <w:rsid w:val="002F4DA6"/>
    <w:rsid w:val="002F5A53"/>
    <w:rsid w:val="002F695B"/>
    <w:rsid w:val="002F72DA"/>
    <w:rsid w:val="002F76B1"/>
    <w:rsid w:val="002F7CC8"/>
    <w:rsid w:val="002F7D66"/>
    <w:rsid w:val="002F7DBE"/>
    <w:rsid w:val="0030090B"/>
    <w:rsid w:val="00302AE8"/>
    <w:rsid w:val="00302BB1"/>
    <w:rsid w:val="00304210"/>
    <w:rsid w:val="003048D7"/>
    <w:rsid w:val="00304A1B"/>
    <w:rsid w:val="00304AD2"/>
    <w:rsid w:val="003062E6"/>
    <w:rsid w:val="003068B6"/>
    <w:rsid w:val="003071F6"/>
    <w:rsid w:val="00307A18"/>
    <w:rsid w:val="00307FE0"/>
    <w:rsid w:val="0031094B"/>
    <w:rsid w:val="00311C08"/>
    <w:rsid w:val="00312567"/>
    <w:rsid w:val="00312ECE"/>
    <w:rsid w:val="0031393C"/>
    <w:rsid w:val="00313CB0"/>
    <w:rsid w:val="00313F96"/>
    <w:rsid w:val="003150CE"/>
    <w:rsid w:val="00315AAB"/>
    <w:rsid w:val="00316166"/>
    <w:rsid w:val="0031734F"/>
    <w:rsid w:val="003175E1"/>
    <w:rsid w:val="00320299"/>
    <w:rsid w:val="0032079F"/>
    <w:rsid w:val="00321154"/>
    <w:rsid w:val="003211B0"/>
    <w:rsid w:val="00321EDA"/>
    <w:rsid w:val="0032235B"/>
    <w:rsid w:val="003224AA"/>
    <w:rsid w:val="003224E7"/>
    <w:rsid w:val="00322CA0"/>
    <w:rsid w:val="00325D7A"/>
    <w:rsid w:val="00326145"/>
    <w:rsid w:val="00327163"/>
    <w:rsid w:val="00327305"/>
    <w:rsid w:val="00327531"/>
    <w:rsid w:val="00330187"/>
    <w:rsid w:val="00330D47"/>
    <w:rsid w:val="00331C77"/>
    <w:rsid w:val="00331DB6"/>
    <w:rsid w:val="00331F96"/>
    <w:rsid w:val="00332B55"/>
    <w:rsid w:val="00335EA8"/>
    <w:rsid w:val="003363DD"/>
    <w:rsid w:val="00340361"/>
    <w:rsid w:val="00340795"/>
    <w:rsid w:val="00340D5F"/>
    <w:rsid w:val="0034111C"/>
    <w:rsid w:val="00341E60"/>
    <w:rsid w:val="0034217F"/>
    <w:rsid w:val="00342AD2"/>
    <w:rsid w:val="00343954"/>
    <w:rsid w:val="00345405"/>
    <w:rsid w:val="00345612"/>
    <w:rsid w:val="00345DDD"/>
    <w:rsid w:val="00346FED"/>
    <w:rsid w:val="0035007F"/>
    <w:rsid w:val="00351E01"/>
    <w:rsid w:val="0035274C"/>
    <w:rsid w:val="00352D21"/>
    <w:rsid w:val="0035443D"/>
    <w:rsid w:val="00354FEE"/>
    <w:rsid w:val="0035625E"/>
    <w:rsid w:val="00356275"/>
    <w:rsid w:val="003569B7"/>
    <w:rsid w:val="00356B54"/>
    <w:rsid w:val="00356C0B"/>
    <w:rsid w:val="00357B9C"/>
    <w:rsid w:val="00361412"/>
    <w:rsid w:val="003615CA"/>
    <w:rsid w:val="00361DD1"/>
    <w:rsid w:val="00363112"/>
    <w:rsid w:val="00363346"/>
    <w:rsid w:val="003642A6"/>
    <w:rsid w:val="00364853"/>
    <w:rsid w:val="003664B9"/>
    <w:rsid w:val="00367337"/>
    <w:rsid w:val="00367367"/>
    <w:rsid w:val="00367FD8"/>
    <w:rsid w:val="00370B63"/>
    <w:rsid w:val="00370FCC"/>
    <w:rsid w:val="003711AF"/>
    <w:rsid w:val="00371364"/>
    <w:rsid w:val="003733E5"/>
    <w:rsid w:val="00374848"/>
    <w:rsid w:val="003757B7"/>
    <w:rsid w:val="00375D09"/>
    <w:rsid w:val="0037739D"/>
    <w:rsid w:val="0037751C"/>
    <w:rsid w:val="00377DED"/>
    <w:rsid w:val="00380F3F"/>
    <w:rsid w:val="00382232"/>
    <w:rsid w:val="00382772"/>
    <w:rsid w:val="00382F1A"/>
    <w:rsid w:val="00383282"/>
    <w:rsid w:val="00383658"/>
    <w:rsid w:val="0038412E"/>
    <w:rsid w:val="00386053"/>
    <w:rsid w:val="0038771D"/>
    <w:rsid w:val="0039287E"/>
    <w:rsid w:val="00393507"/>
    <w:rsid w:val="003935F1"/>
    <w:rsid w:val="00393E44"/>
    <w:rsid w:val="00394270"/>
    <w:rsid w:val="00396EAE"/>
    <w:rsid w:val="00397AB6"/>
    <w:rsid w:val="00397ACA"/>
    <w:rsid w:val="003A0417"/>
    <w:rsid w:val="003A10C3"/>
    <w:rsid w:val="003A3647"/>
    <w:rsid w:val="003A597F"/>
    <w:rsid w:val="003A71A8"/>
    <w:rsid w:val="003A7926"/>
    <w:rsid w:val="003B00CA"/>
    <w:rsid w:val="003B030B"/>
    <w:rsid w:val="003B0432"/>
    <w:rsid w:val="003B05D9"/>
    <w:rsid w:val="003B0821"/>
    <w:rsid w:val="003B0BE9"/>
    <w:rsid w:val="003B0DAF"/>
    <w:rsid w:val="003B19F8"/>
    <w:rsid w:val="003B2E9B"/>
    <w:rsid w:val="003B2F8D"/>
    <w:rsid w:val="003B3C29"/>
    <w:rsid w:val="003B4FAA"/>
    <w:rsid w:val="003B547A"/>
    <w:rsid w:val="003B68C8"/>
    <w:rsid w:val="003B6CB0"/>
    <w:rsid w:val="003B75B9"/>
    <w:rsid w:val="003C0DA2"/>
    <w:rsid w:val="003C0DBA"/>
    <w:rsid w:val="003C1A18"/>
    <w:rsid w:val="003C3261"/>
    <w:rsid w:val="003C5A08"/>
    <w:rsid w:val="003C5C41"/>
    <w:rsid w:val="003C7461"/>
    <w:rsid w:val="003D0788"/>
    <w:rsid w:val="003D0C0B"/>
    <w:rsid w:val="003D0E0F"/>
    <w:rsid w:val="003D132A"/>
    <w:rsid w:val="003D1517"/>
    <w:rsid w:val="003D2938"/>
    <w:rsid w:val="003D2C75"/>
    <w:rsid w:val="003D3FBA"/>
    <w:rsid w:val="003D402B"/>
    <w:rsid w:val="003D4444"/>
    <w:rsid w:val="003D515B"/>
    <w:rsid w:val="003D764F"/>
    <w:rsid w:val="003D7D81"/>
    <w:rsid w:val="003E04EB"/>
    <w:rsid w:val="003E0667"/>
    <w:rsid w:val="003E0BCE"/>
    <w:rsid w:val="003E13E0"/>
    <w:rsid w:val="003E1660"/>
    <w:rsid w:val="003E1CD1"/>
    <w:rsid w:val="003E1F8A"/>
    <w:rsid w:val="003E2A2D"/>
    <w:rsid w:val="003E2EEE"/>
    <w:rsid w:val="003E40BD"/>
    <w:rsid w:val="003E473F"/>
    <w:rsid w:val="003E521F"/>
    <w:rsid w:val="003E64A9"/>
    <w:rsid w:val="003E7002"/>
    <w:rsid w:val="003E7905"/>
    <w:rsid w:val="003F0336"/>
    <w:rsid w:val="003F2147"/>
    <w:rsid w:val="003F4488"/>
    <w:rsid w:val="003F4C1D"/>
    <w:rsid w:val="003F53EE"/>
    <w:rsid w:val="003F5547"/>
    <w:rsid w:val="003F5C40"/>
    <w:rsid w:val="003F6E12"/>
    <w:rsid w:val="003F75ED"/>
    <w:rsid w:val="004002B7"/>
    <w:rsid w:val="00400F31"/>
    <w:rsid w:val="004012AE"/>
    <w:rsid w:val="0040130A"/>
    <w:rsid w:val="00402295"/>
    <w:rsid w:val="004053F9"/>
    <w:rsid w:val="00406B4D"/>
    <w:rsid w:val="00407F6A"/>
    <w:rsid w:val="0041443C"/>
    <w:rsid w:val="004154F7"/>
    <w:rsid w:val="00416D44"/>
    <w:rsid w:val="004176FF"/>
    <w:rsid w:val="00421A27"/>
    <w:rsid w:val="00421D0A"/>
    <w:rsid w:val="004221AD"/>
    <w:rsid w:val="004229D8"/>
    <w:rsid w:val="0042416C"/>
    <w:rsid w:val="004241C5"/>
    <w:rsid w:val="00424FA7"/>
    <w:rsid w:val="00424FBD"/>
    <w:rsid w:val="00426A87"/>
    <w:rsid w:val="004309D8"/>
    <w:rsid w:val="004313D1"/>
    <w:rsid w:val="00431FD5"/>
    <w:rsid w:val="00432110"/>
    <w:rsid w:val="00433EBE"/>
    <w:rsid w:val="00434406"/>
    <w:rsid w:val="0043751F"/>
    <w:rsid w:val="00440FED"/>
    <w:rsid w:val="00441194"/>
    <w:rsid w:val="00441B0A"/>
    <w:rsid w:val="00441B3C"/>
    <w:rsid w:val="00441B92"/>
    <w:rsid w:val="00442607"/>
    <w:rsid w:val="0044474B"/>
    <w:rsid w:val="00445030"/>
    <w:rsid w:val="004451D3"/>
    <w:rsid w:val="00445FF7"/>
    <w:rsid w:val="004501CE"/>
    <w:rsid w:val="004523DC"/>
    <w:rsid w:val="00453341"/>
    <w:rsid w:val="004545C6"/>
    <w:rsid w:val="00454DCA"/>
    <w:rsid w:val="00455B17"/>
    <w:rsid w:val="00455FE9"/>
    <w:rsid w:val="004561C0"/>
    <w:rsid w:val="00456544"/>
    <w:rsid w:val="00456649"/>
    <w:rsid w:val="004567B7"/>
    <w:rsid w:val="00456856"/>
    <w:rsid w:val="00457810"/>
    <w:rsid w:val="00460839"/>
    <w:rsid w:val="00461210"/>
    <w:rsid w:val="00462490"/>
    <w:rsid w:val="00462A0A"/>
    <w:rsid w:val="00463F47"/>
    <w:rsid w:val="00465299"/>
    <w:rsid w:val="00466A0F"/>
    <w:rsid w:val="0046795B"/>
    <w:rsid w:val="004708C0"/>
    <w:rsid w:val="00470F28"/>
    <w:rsid w:val="004715CB"/>
    <w:rsid w:val="00471863"/>
    <w:rsid w:val="00472233"/>
    <w:rsid w:val="00473353"/>
    <w:rsid w:val="00473A14"/>
    <w:rsid w:val="00474CA8"/>
    <w:rsid w:val="00474E43"/>
    <w:rsid w:val="00475A4A"/>
    <w:rsid w:val="00476DA5"/>
    <w:rsid w:val="0048076D"/>
    <w:rsid w:val="00481A3B"/>
    <w:rsid w:val="00481C24"/>
    <w:rsid w:val="00481D90"/>
    <w:rsid w:val="00481E96"/>
    <w:rsid w:val="00482CD4"/>
    <w:rsid w:val="00483261"/>
    <w:rsid w:val="00484021"/>
    <w:rsid w:val="00485843"/>
    <w:rsid w:val="00485B23"/>
    <w:rsid w:val="0048630D"/>
    <w:rsid w:val="004874E4"/>
    <w:rsid w:val="004878D8"/>
    <w:rsid w:val="0049070D"/>
    <w:rsid w:val="004914A9"/>
    <w:rsid w:val="00491BE4"/>
    <w:rsid w:val="00491DB2"/>
    <w:rsid w:val="00492877"/>
    <w:rsid w:val="0049639A"/>
    <w:rsid w:val="00496DC2"/>
    <w:rsid w:val="00496E75"/>
    <w:rsid w:val="004A014C"/>
    <w:rsid w:val="004A0AA8"/>
    <w:rsid w:val="004A0EC9"/>
    <w:rsid w:val="004A1F88"/>
    <w:rsid w:val="004A1FE4"/>
    <w:rsid w:val="004A2CA9"/>
    <w:rsid w:val="004A30C2"/>
    <w:rsid w:val="004A33EF"/>
    <w:rsid w:val="004A34C9"/>
    <w:rsid w:val="004A3CB5"/>
    <w:rsid w:val="004A441B"/>
    <w:rsid w:val="004A466E"/>
    <w:rsid w:val="004A537D"/>
    <w:rsid w:val="004A565D"/>
    <w:rsid w:val="004A5703"/>
    <w:rsid w:val="004A5BAF"/>
    <w:rsid w:val="004A64F6"/>
    <w:rsid w:val="004A67F0"/>
    <w:rsid w:val="004A71C3"/>
    <w:rsid w:val="004A74D2"/>
    <w:rsid w:val="004A7769"/>
    <w:rsid w:val="004B23AD"/>
    <w:rsid w:val="004B24E5"/>
    <w:rsid w:val="004B2965"/>
    <w:rsid w:val="004B3C94"/>
    <w:rsid w:val="004B4224"/>
    <w:rsid w:val="004B4647"/>
    <w:rsid w:val="004B5E52"/>
    <w:rsid w:val="004B5E6F"/>
    <w:rsid w:val="004B7455"/>
    <w:rsid w:val="004B74FF"/>
    <w:rsid w:val="004B787C"/>
    <w:rsid w:val="004B7CE4"/>
    <w:rsid w:val="004C0401"/>
    <w:rsid w:val="004C0C49"/>
    <w:rsid w:val="004C183D"/>
    <w:rsid w:val="004C2669"/>
    <w:rsid w:val="004C3AE2"/>
    <w:rsid w:val="004C3EC7"/>
    <w:rsid w:val="004C3EEE"/>
    <w:rsid w:val="004C483D"/>
    <w:rsid w:val="004C4EF9"/>
    <w:rsid w:val="004C6AB8"/>
    <w:rsid w:val="004C6C7D"/>
    <w:rsid w:val="004C795A"/>
    <w:rsid w:val="004C7F93"/>
    <w:rsid w:val="004D26B8"/>
    <w:rsid w:val="004D38C2"/>
    <w:rsid w:val="004D4FBD"/>
    <w:rsid w:val="004D4FC0"/>
    <w:rsid w:val="004D7DA8"/>
    <w:rsid w:val="004E2892"/>
    <w:rsid w:val="004E362B"/>
    <w:rsid w:val="004E3681"/>
    <w:rsid w:val="004E3D74"/>
    <w:rsid w:val="004E5AD0"/>
    <w:rsid w:val="004E708D"/>
    <w:rsid w:val="004E784B"/>
    <w:rsid w:val="004E7ED0"/>
    <w:rsid w:val="004E7F68"/>
    <w:rsid w:val="004F0224"/>
    <w:rsid w:val="004F0DB4"/>
    <w:rsid w:val="004F0E04"/>
    <w:rsid w:val="004F1EBC"/>
    <w:rsid w:val="004F20E8"/>
    <w:rsid w:val="004F2C50"/>
    <w:rsid w:val="004F2DDD"/>
    <w:rsid w:val="004F3076"/>
    <w:rsid w:val="004F3B71"/>
    <w:rsid w:val="004F5154"/>
    <w:rsid w:val="004F5835"/>
    <w:rsid w:val="004F5C9E"/>
    <w:rsid w:val="004F661C"/>
    <w:rsid w:val="004F6D99"/>
    <w:rsid w:val="00500572"/>
    <w:rsid w:val="005012FA"/>
    <w:rsid w:val="00501304"/>
    <w:rsid w:val="00501425"/>
    <w:rsid w:val="005036BE"/>
    <w:rsid w:val="00504311"/>
    <w:rsid w:val="0050485C"/>
    <w:rsid w:val="00504AC6"/>
    <w:rsid w:val="00510C5E"/>
    <w:rsid w:val="00511079"/>
    <w:rsid w:val="005117E0"/>
    <w:rsid w:val="00511CDF"/>
    <w:rsid w:val="00512829"/>
    <w:rsid w:val="00513839"/>
    <w:rsid w:val="00513B29"/>
    <w:rsid w:val="00513DEF"/>
    <w:rsid w:val="0051423C"/>
    <w:rsid w:val="00514C91"/>
    <w:rsid w:val="00514CA9"/>
    <w:rsid w:val="005153CE"/>
    <w:rsid w:val="00516241"/>
    <w:rsid w:val="00516D3F"/>
    <w:rsid w:val="00516FD9"/>
    <w:rsid w:val="0051791D"/>
    <w:rsid w:val="00520D6D"/>
    <w:rsid w:val="0052224D"/>
    <w:rsid w:val="00522F9D"/>
    <w:rsid w:val="00523E75"/>
    <w:rsid w:val="005243E0"/>
    <w:rsid w:val="00524454"/>
    <w:rsid w:val="005256F3"/>
    <w:rsid w:val="00525C15"/>
    <w:rsid w:val="00526322"/>
    <w:rsid w:val="005265A3"/>
    <w:rsid w:val="00526783"/>
    <w:rsid w:val="0052721C"/>
    <w:rsid w:val="005278FB"/>
    <w:rsid w:val="00527C99"/>
    <w:rsid w:val="00527FB1"/>
    <w:rsid w:val="005314C5"/>
    <w:rsid w:val="0053162F"/>
    <w:rsid w:val="00531777"/>
    <w:rsid w:val="0053281C"/>
    <w:rsid w:val="00532D02"/>
    <w:rsid w:val="005340C9"/>
    <w:rsid w:val="00534EE8"/>
    <w:rsid w:val="00535F84"/>
    <w:rsid w:val="0053662A"/>
    <w:rsid w:val="005375FE"/>
    <w:rsid w:val="00540541"/>
    <w:rsid w:val="00540B5A"/>
    <w:rsid w:val="005420DE"/>
    <w:rsid w:val="00542249"/>
    <w:rsid w:val="005431F5"/>
    <w:rsid w:val="00543707"/>
    <w:rsid w:val="00543EBB"/>
    <w:rsid w:val="00544213"/>
    <w:rsid w:val="005453F3"/>
    <w:rsid w:val="00545549"/>
    <w:rsid w:val="00546312"/>
    <w:rsid w:val="005467DC"/>
    <w:rsid w:val="005469F5"/>
    <w:rsid w:val="00546A74"/>
    <w:rsid w:val="005518ED"/>
    <w:rsid w:val="00552093"/>
    <w:rsid w:val="00552309"/>
    <w:rsid w:val="00554E4B"/>
    <w:rsid w:val="00555CBB"/>
    <w:rsid w:val="00555F67"/>
    <w:rsid w:val="00556605"/>
    <w:rsid w:val="00556CC5"/>
    <w:rsid w:val="005601AC"/>
    <w:rsid w:val="005606A4"/>
    <w:rsid w:val="005607B8"/>
    <w:rsid w:val="00560CF5"/>
    <w:rsid w:val="00562330"/>
    <w:rsid w:val="0056272D"/>
    <w:rsid w:val="00562BAB"/>
    <w:rsid w:val="0056308E"/>
    <w:rsid w:val="005638C1"/>
    <w:rsid w:val="00563912"/>
    <w:rsid w:val="0056415C"/>
    <w:rsid w:val="005649BF"/>
    <w:rsid w:val="005650ED"/>
    <w:rsid w:val="00565869"/>
    <w:rsid w:val="00567415"/>
    <w:rsid w:val="00567610"/>
    <w:rsid w:val="00570D9F"/>
    <w:rsid w:val="00571CA8"/>
    <w:rsid w:val="005734C0"/>
    <w:rsid w:val="00574BA6"/>
    <w:rsid w:val="00577B37"/>
    <w:rsid w:val="0058010E"/>
    <w:rsid w:val="00580793"/>
    <w:rsid w:val="00581470"/>
    <w:rsid w:val="00581893"/>
    <w:rsid w:val="00581E73"/>
    <w:rsid w:val="00582087"/>
    <w:rsid w:val="005831DD"/>
    <w:rsid w:val="00584320"/>
    <w:rsid w:val="00585484"/>
    <w:rsid w:val="00587229"/>
    <w:rsid w:val="00587503"/>
    <w:rsid w:val="005877C3"/>
    <w:rsid w:val="00587F7F"/>
    <w:rsid w:val="005907D2"/>
    <w:rsid w:val="00590C29"/>
    <w:rsid w:val="00590E8D"/>
    <w:rsid w:val="00591511"/>
    <w:rsid w:val="0059331A"/>
    <w:rsid w:val="00593970"/>
    <w:rsid w:val="005949E8"/>
    <w:rsid w:val="00596BBA"/>
    <w:rsid w:val="005972F8"/>
    <w:rsid w:val="005975C4"/>
    <w:rsid w:val="00597ED8"/>
    <w:rsid w:val="005A2D6D"/>
    <w:rsid w:val="005A34D5"/>
    <w:rsid w:val="005A46A2"/>
    <w:rsid w:val="005A4904"/>
    <w:rsid w:val="005A4959"/>
    <w:rsid w:val="005A515A"/>
    <w:rsid w:val="005A6120"/>
    <w:rsid w:val="005A6BC4"/>
    <w:rsid w:val="005A704D"/>
    <w:rsid w:val="005B1FF6"/>
    <w:rsid w:val="005B301E"/>
    <w:rsid w:val="005B303B"/>
    <w:rsid w:val="005B3C6D"/>
    <w:rsid w:val="005B4045"/>
    <w:rsid w:val="005B49A7"/>
    <w:rsid w:val="005B4AEC"/>
    <w:rsid w:val="005B609E"/>
    <w:rsid w:val="005B6DF6"/>
    <w:rsid w:val="005B6EA6"/>
    <w:rsid w:val="005B780E"/>
    <w:rsid w:val="005B7B7D"/>
    <w:rsid w:val="005C1948"/>
    <w:rsid w:val="005C19A5"/>
    <w:rsid w:val="005C263C"/>
    <w:rsid w:val="005C2679"/>
    <w:rsid w:val="005C2CB5"/>
    <w:rsid w:val="005C410E"/>
    <w:rsid w:val="005C41D4"/>
    <w:rsid w:val="005C6FAD"/>
    <w:rsid w:val="005D0079"/>
    <w:rsid w:val="005D059A"/>
    <w:rsid w:val="005D07AE"/>
    <w:rsid w:val="005D07C5"/>
    <w:rsid w:val="005D1478"/>
    <w:rsid w:val="005D1FF8"/>
    <w:rsid w:val="005D4213"/>
    <w:rsid w:val="005D4302"/>
    <w:rsid w:val="005D55FF"/>
    <w:rsid w:val="005D5A20"/>
    <w:rsid w:val="005D6055"/>
    <w:rsid w:val="005D612D"/>
    <w:rsid w:val="005D6EF0"/>
    <w:rsid w:val="005D6F3E"/>
    <w:rsid w:val="005D786C"/>
    <w:rsid w:val="005E00E5"/>
    <w:rsid w:val="005E049F"/>
    <w:rsid w:val="005E1588"/>
    <w:rsid w:val="005E3073"/>
    <w:rsid w:val="005E316A"/>
    <w:rsid w:val="005E5E1A"/>
    <w:rsid w:val="005E6C16"/>
    <w:rsid w:val="005E7117"/>
    <w:rsid w:val="005E746D"/>
    <w:rsid w:val="005F0108"/>
    <w:rsid w:val="005F0ECC"/>
    <w:rsid w:val="005F21A5"/>
    <w:rsid w:val="005F2470"/>
    <w:rsid w:val="005F28C6"/>
    <w:rsid w:val="005F3F16"/>
    <w:rsid w:val="005F5241"/>
    <w:rsid w:val="005F52CC"/>
    <w:rsid w:val="005F5E6F"/>
    <w:rsid w:val="005F6BD4"/>
    <w:rsid w:val="005F77B0"/>
    <w:rsid w:val="005F7985"/>
    <w:rsid w:val="0060004D"/>
    <w:rsid w:val="00600CEB"/>
    <w:rsid w:val="00602A84"/>
    <w:rsid w:val="00602AA1"/>
    <w:rsid w:val="00603131"/>
    <w:rsid w:val="00604367"/>
    <w:rsid w:val="006044BE"/>
    <w:rsid w:val="0060475F"/>
    <w:rsid w:val="006060C2"/>
    <w:rsid w:val="00606731"/>
    <w:rsid w:val="00606A26"/>
    <w:rsid w:val="00606AC6"/>
    <w:rsid w:val="00606CC0"/>
    <w:rsid w:val="00607D81"/>
    <w:rsid w:val="00610747"/>
    <w:rsid w:val="00610E03"/>
    <w:rsid w:val="00610EC7"/>
    <w:rsid w:val="0061176E"/>
    <w:rsid w:val="00612A14"/>
    <w:rsid w:val="0061417F"/>
    <w:rsid w:val="00614CD1"/>
    <w:rsid w:val="0061567B"/>
    <w:rsid w:val="00616921"/>
    <w:rsid w:val="0062152A"/>
    <w:rsid w:val="00621893"/>
    <w:rsid w:val="00623583"/>
    <w:rsid w:val="00623717"/>
    <w:rsid w:val="00623D9E"/>
    <w:rsid w:val="0062462F"/>
    <w:rsid w:val="00624BA1"/>
    <w:rsid w:val="006257E9"/>
    <w:rsid w:val="0062661B"/>
    <w:rsid w:val="00626D80"/>
    <w:rsid w:val="00627717"/>
    <w:rsid w:val="00630118"/>
    <w:rsid w:val="006310AE"/>
    <w:rsid w:val="00631762"/>
    <w:rsid w:val="00632196"/>
    <w:rsid w:val="00632FD1"/>
    <w:rsid w:val="00633BF2"/>
    <w:rsid w:val="00633F67"/>
    <w:rsid w:val="006345C3"/>
    <w:rsid w:val="006362F9"/>
    <w:rsid w:val="006369A9"/>
    <w:rsid w:val="006373CD"/>
    <w:rsid w:val="0063747D"/>
    <w:rsid w:val="0064165D"/>
    <w:rsid w:val="006433BD"/>
    <w:rsid w:val="00643784"/>
    <w:rsid w:val="00644186"/>
    <w:rsid w:val="00644803"/>
    <w:rsid w:val="00644A21"/>
    <w:rsid w:val="006452EE"/>
    <w:rsid w:val="00645C9F"/>
    <w:rsid w:val="00646256"/>
    <w:rsid w:val="00646305"/>
    <w:rsid w:val="006463D6"/>
    <w:rsid w:val="00646A6C"/>
    <w:rsid w:val="00646F20"/>
    <w:rsid w:val="006475E6"/>
    <w:rsid w:val="006508B9"/>
    <w:rsid w:val="00650CA1"/>
    <w:rsid w:val="00651854"/>
    <w:rsid w:val="006539E8"/>
    <w:rsid w:val="006563F3"/>
    <w:rsid w:val="006565D8"/>
    <w:rsid w:val="006567C6"/>
    <w:rsid w:val="00656B96"/>
    <w:rsid w:val="00656CF4"/>
    <w:rsid w:val="0065736B"/>
    <w:rsid w:val="00657AE5"/>
    <w:rsid w:val="006619B0"/>
    <w:rsid w:val="00661B9B"/>
    <w:rsid w:val="00662012"/>
    <w:rsid w:val="00662543"/>
    <w:rsid w:val="006626D0"/>
    <w:rsid w:val="00664E8C"/>
    <w:rsid w:val="00665138"/>
    <w:rsid w:val="0066528A"/>
    <w:rsid w:val="00665F7C"/>
    <w:rsid w:val="0066699A"/>
    <w:rsid w:val="00666DFC"/>
    <w:rsid w:val="00666EBB"/>
    <w:rsid w:val="00666F7A"/>
    <w:rsid w:val="00667385"/>
    <w:rsid w:val="0066779E"/>
    <w:rsid w:val="0067269D"/>
    <w:rsid w:val="00672988"/>
    <w:rsid w:val="00672AEA"/>
    <w:rsid w:val="00672C64"/>
    <w:rsid w:val="00674E6A"/>
    <w:rsid w:val="00675266"/>
    <w:rsid w:val="0067661A"/>
    <w:rsid w:val="00676A64"/>
    <w:rsid w:val="00677925"/>
    <w:rsid w:val="00680F46"/>
    <w:rsid w:val="00681FDC"/>
    <w:rsid w:val="0068251F"/>
    <w:rsid w:val="006829E8"/>
    <w:rsid w:val="00682A0C"/>
    <w:rsid w:val="00682B53"/>
    <w:rsid w:val="00682F27"/>
    <w:rsid w:val="0068573E"/>
    <w:rsid w:val="0069011A"/>
    <w:rsid w:val="006901CD"/>
    <w:rsid w:val="00690E2E"/>
    <w:rsid w:val="006915D7"/>
    <w:rsid w:val="00692814"/>
    <w:rsid w:val="0069320E"/>
    <w:rsid w:val="006932E7"/>
    <w:rsid w:val="00693347"/>
    <w:rsid w:val="0069334C"/>
    <w:rsid w:val="00696D63"/>
    <w:rsid w:val="0069729C"/>
    <w:rsid w:val="00697EBA"/>
    <w:rsid w:val="006A032F"/>
    <w:rsid w:val="006A41AE"/>
    <w:rsid w:val="006A432B"/>
    <w:rsid w:val="006A4856"/>
    <w:rsid w:val="006A530D"/>
    <w:rsid w:val="006A564B"/>
    <w:rsid w:val="006A5CBF"/>
    <w:rsid w:val="006B0386"/>
    <w:rsid w:val="006B08CF"/>
    <w:rsid w:val="006B0B90"/>
    <w:rsid w:val="006B1545"/>
    <w:rsid w:val="006B27AC"/>
    <w:rsid w:val="006B2DA7"/>
    <w:rsid w:val="006B2F4D"/>
    <w:rsid w:val="006B3682"/>
    <w:rsid w:val="006B48CB"/>
    <w:rsid w:val="006B4FE8"/>
    <w:rsid w:val="006B715C"/>
    <w:rsid w:val="006B7CE0"/>
    <w:rsid w:val="006C08C5"/>
    <w:rsid w:val="006C1445"/>
    <w:rsid w:val="006C2A59"/>
    <w:rsid w:val="006C3959"/>
    <w:rsid w:val="006C4FC1"/>
    <w:rsid w:val="006C51A5"/>
    <w:rsid w:val="006C529D"/>
    <w:rsid w:val="006C5670"/>
    <w:rsid w:val="006C58B2"/>
    <w:rsid w:val="006C65A1"/>
    <w:rsid w:val="006C7B01"/>
    <w:rsid w:val="006C7CC9"/>
    <w:rsid w:val="006C7CFC"/>
    <w:rsid w:val="006D0E6B"/>
    <w:rsid w:val="006D1073"/>
    <w:rsid w:val="006D2146"/>
    <w:rsid w:val="006D2D0B"/>
    <w:rsid w:val="006D632E"/>
    <w:rsid w:val="006D668E"/>
    <w:rsid w:val="006E094A"/>
    <w:rsid w:val="006E12B1"/>
    <w:rsid w:val="006E13D1"/>
    <w:rsid w:val="006E1A08"/>
    <w:rsid w:val="006E283E"/>
    <w:rsid w:val="006E2A4B"/>
    <w:rsid w:val="006E4D0C"/>
    <w:rsid w:val="006E4D1B"/>
    <w:rsid w:val="006E5B78"/>
    <w:rsid w:val="006E6BA3"/>
    <w:rsid w:val="006F01EB"/>
    <w:rsid w:val="006F1116"/>
    <w:rsid w:val="006F256A"/>
    <w:rsid w:val="006F3196"/>
    <w:rsid w:val="006F3C54"/>
    <w:rsid w:val="006F5E64"/>
    <w:rsid w:val="006F60DE"/>
    <w:rsid w:val="006F7914"/>
    <w:rsid w:val="006F7E46"/>
    <w:rsid w:val="00700AB4"/>
    <w:rsid w:val="00700FCA"/>
    <w:rsid w:val="00701645"/>
    <w:rsid w:val="00702C80"/>
    <w:rsid w:val="00702D5A"/>
    <w:rsid w:val="00702EF7"/>
    <w:rsid w:val="00703989"/>
    <w:rsid w:val="007042E9"/>
    <w:rsid w:val="0070687A"/>
    <w:rsid w:val="00710393"/>
    <w:rsid w:val="0071118B"/>
    <w:rsid w:val="00711E13"/>
    <w:rsid w:val="00712EDA"/>
    <w:rsid w:val="007136D0"/>
    <w:rsid w:val="00714BA2"/>
    <w:rsid w:val="007155A9"/>
    <w:rsid w:val="007158E1"/>
    <w:rsid w:val="0071705B"/>
    <w:rsid w:val="00720505"/>
    <w:rsid w:val="007205E1"/>
    <w:rsid w:val="007236A3"/>
    <w:rsid w:val="00723960"/>
    <w:rsid w:val="007239B6"/>
    <w:rsid w:val="0072490A"/>
    <w:rsid w:val="0072517D"/>
    <w:rsid w:val="0072558B"/>
    <w:rsid w:val="00726878"/>
    <w:rsid w:val="0073124A"/>
    <w:rsid w:val="00731B79"/>
    <w:rsid w:val="00731EFA"/>
    <w:rsid w:val="007331CE"/>
    <w:rsid w:val="00733893"/>
    <w:rsid w:val="00734A05"/>
    <w:rsid w:val="00735C6F"/>
    <w:rsid w:val="007408D5"/>
    <w:rsid w:val="00742B44"/>
    <w:rsid w:val="007440FE"/>
    <w:rsid w:val="0074655A"/>
    <w:rsid w:val="007469B7"/>
    <w:rsid w:val="00746C78"/>
    <w:rsid w:val="00746CC5"/>
    <w:rsid w:val="00751B94"/>
    <w:rsid w:val="00753BB5"/>
    <w:rsid w:val="00756832"/>
    <w:rsid w:val="007626D0"/>
    <w:rsid w:val="007651CA"/>
    <w:rsid w:val="00767519"/>
    <w:rsid w:val="00767CE5"/>
    <w:rsid w:val="00767EE3"/>
    <w:rsid w:val="007704E1"/>
    <w:rsid w:val="00772569"/>
    <w:rsid w:val="00772E8C"/>
    <w:rsid w:val="007736D3"/>
    <w:rsid w:val="00773B54"/>
    <w:rsid w:val="0077500F"/>
    <w:rsid w:val="0077548E"/>
    <w:rsid w:val="00777315"/>
    <w:rsid w:val="00777387"/>
    <w:rsid w:val="007802E4"/>
    <w:rsid w:val="00780919"/>
    <w:rsid w:val="007825F0"/>
    <w:rsid w:val="007826C8"/>
    <w:rsid w:val="00782972"/>
    <w:rsid w:val="00783ACA"/>
    <w:rsid w:val="00784190"/>
    <w:rsid w:val="0078457B"/>
    <w:rsid w:val="00784756"/>
    <w:rsid w:val="0078539D"/>
    <w:rsid w:val="007856C1"/>
    <w:rsid w:val="00785B70"/>
    <w:rsid w:val="00786ED1"/>
    <w:rsid w:val="00787051"/>
    <w:rsid w:val="0079018D"/>
    <w:rsid w:val="00791A00"/>
    <w:rsid w:val="00791DBA"/>
    <w:rsid w:val="00791DC7"/>
    <w:rsid w:val="00791F3A"/>
    <w:rsid w:val="00792CEE"/>
    <w:rsid w:val="00794E92"/>
    <w:rsid w:val="0079656A"/>
    <w:rsid w:val="00796D86"/>
    <w:rsid w:val="00796F15"/>
    <w:rsid w:val="007A138F"/>
    <w:rsid w:val="007A1640"/>
    <w:rsid w:val="007A3723"/>
    <w:rsid w:val="007A39DF"/>
    <w:rsid w:val="007A3A7F"/>
    <w:rsid w:val="007A43ED"/>
    <w:rsid w:val="007A4920"/>
    <w:rsid w:val="007A4997"/>
    <w:rsid w:val="007A4BDD"/>
    <w:rsid w:val="007A6881"/>
    <w:rsid w:val="007A72EE"/>
    <w:rsid w:val="007B0397"/>
    <w:rsid w:val="007B3502"/>
    <w:rsid w:val="007B44ED"/>
    <w:rsid w:val="007B491A"/>
    <w:rsid w:val="007B5370"/>
    <w:rsid w:val="007B6123"/>
    <w:rsid w:val="007B61F5"/>
    <w:rsid w:val="007B63FA"/>
    <w:rsid w:val="007B7496"/>
    <w:rsid w:val="007B7AF5"/>
    <w:rsid w:val="007B7D52"/>
    <w:rsid w:val="007C0802"/>
    <w:rsid w:val="007C12BE"/>
    <w:rsid w:val="007C262E"/>
    <w:rsid w:val="007C2739"/>
    <w:rsid w:val="007C4B0F"/>
    <w:rsid w:val="007C4DAD"/>
    <w:rsid w:val="007C501D"/>
    <w:rsid w:val="007C5830"/>
    <w:rsid w:val="007C5DB8"/>
    <w:rsid w:val="007C6CA2"/>
    <w:rsid w:val="007D05B2"/>
    <w:rsid w:val="007D0C44"/>
    <w:rsid w:val="007D164A"/>
    <w:rsid w:val="007D1972"/>
    <w:rsid w:val="007D1F33"/>
    <w:rsid w:val="007D2146"/>
    <w:rsid w:val="007D24BF"/>
    <w:rsid w:val="007D2BBA"/>
    <w:rsid w:val="007D3307"/>
    <w:rsid w:val="007D432A"/>
    <w:rsid w:val="007D5A88"/>
    <w:rsid w:val="007D5E27"/>
    <w:rsid w:val="007D6F64"/>
    <w:rsid w:val="007D752A"/>
    <w:rsid w:val="007E12FD"/>
    <w:rsid w:val="007E25AB"/>
    <w:rsid w:val="007E2C70"/>
    <w:rsid w:val="007E45BC"/>
    <w:rsid w:val="007E5AC2"/>
    <w:rsid w:val="007E79C5"/>
    <w:rsid w:val="007F0036"/>
    <w:rsid w:val="007F143A"/>
    <w:rsid w:val="007F2845"/>
    <w:rsid w:val="007F43BC"/>
    <w:rsid w:val="007F43C1"/>
    <w:rsid w:val="007F4740"/>
    <w:rsid w:val="007F5CEB"/>
    <w:rsid w:val="007F6202"/>
    <w:rsid w:val="007F7E1D"/>
    <w:rsid w:val="008006C6"/>
    <w:rsid w:val="00800C52"/>
    <w:rsid w:val="00800F33"/>
    <w:rsid w:val="00800FE1"/>
    <w:rsid w:val="0080153E"/>
    <w:rsid w:val="00805533"/>
    <w:rsid w:val="0080742D"/>
    <w:rsid w:val="008100AC"/>
    <w:rsid w:val="008114D3"/>
    <w:rsid w:val="0081151E"/>
    <w:rsid w:val="00812498"/>
    <w:rsid w:val="0081263E"/>
    <w:rsid w:val="008127E6"/>
    <w:rsid w:val="0081336E"/>
    <w:rsid w:val="00813928"/>
    <w:rsid w:val="008202CD"/>
    <w:rsid w:val="00820DC7"/>
    <w:rsid w:val="00820FFB"/>
    <w:rsid w:val="00821698"/>
    <w:rsid w:val="008221FE"/>
    <w:rsid w:val="00822B6B"/>
    <w:rsid w:val="00822BF5"/>
    <w:rsid w:val="00824894"/>
    <w:rsid w:val="00825366"/>
    <w:rsid w:val="00825B11"/>
    <w:rsid w:val="00826C7B"/>
    <w:rsid w:val="00826DD9"/>
    <w:rsid w:val="00826E01"/>
    <w:rsid w:val="008277A8"/>
    <w:rsid w:val="008278B6"/>
    <w:rsid w:val="008307ED"/>
    <w:rsid w:val="00832918"/>
    <w:rsid w:val="00833065"/>
    <w:rsid w:val="0083350F"/>
    <w:rsid w:val="00834237"/>
    <w:rsid w:val="00834358"/>
    <w:rsid w:val="008346BD"/>
    <w:rsid w:val="008355F3"/>
    <w:rsid w:val="00836B7A"/>
    <w:rsid w:val="008409AA"/>
    <w:rsid w:val="00840FB8"/>
    <w:rsid w:val="0084353E"/>
    <w:rsid w:val="00843A7A"/>
    <w:rsid w:val="008447F5"/>
    <w:rsid w:val="00846292"/>
    <w:rsid w:val="00850413"/>
    <w:rsid w:val="008506E1"/>
    <w:rsid w:val="008515EE"/>
    <w:rsid w:val="008528D3"/>
    <w:rsid w:val="008543BB"/>
    <w:rsid w:val="00854553"/>
    <w:rsid w:val="00855B86"/>
    <w:rsid w:val="008565F1"/>
    <w:rsid w:val="0086042D"/>
    <w:rsid w:val="00860874"/>
    <w:rsid w:val="008617D0"/>
    <w:rsid w:val="00862008"/>
    <w:rsid w:val="00862720"/>
    <w:rsid w:val="008628C8"/>
    <w:rsid w:val="00862B2A"/>
    <w:rsid w:val="008630B9"/>
    <w:rsid w:val="00863F37"/>
    <w:rsid w:val="0086406B"/>
    <w:rsid w:val="00864C8C"/>
    <w:rsid w:val="00867651"/>
    <w:rsid w:val="008704A9"/>
    <w:rsid w:val="00870D04"/>
    <w:rsid w:val="0087121B"/>
    <w:rsid w:val="008714B6"/>
    <w:rsid w:val="0087238A"/>
    <w:rsid w:val="008743F3"/>
    <w:rsid w:val="0087444A"/>
    <w:rsid w:val="00875139"/>
    <w:rsid w:val="00875410"/>
    <w:rsid w:val="00880279"/>
    <w:rsid w:val="008808BE"/>
    <w:rsid w:val="00880EDF"/>
    <w:rsid w:val="00881D4F"/>
    <w:rsid w:val="00881F9E"/>
    <w:rsid w:val="00882273"/>
    <w:rsid w:val="008826CD"/>
    <w:rsid w:val="00882DE6"/>
    <w:rsid w:val="00883D4D"/>
    <w:rsid w:val="00884009"/>
    <w:rsid w:val="00884B59"/>
    <w:rsid w:val="008850BA"/>
    <w:rsid w:val="0088583D"/>
    <w:rsid w:val="00885876"/>
    <w:rsid w:val="00886185"/>
    <w:rsid w:val="008861D9"/>
    <w:rsid w:val="0088638C"/>
    <w:rsid w:val="00886EDF"/>
    <w:rsid w:val="008877E0"/>
    <w:rsid w:val="008908E5"/>
    <w:rsid w:val="00891216"/>
    <w:rsid w:val="00894FDC"/>
    <w:rsid w:val="008A16F9"/>
    <w:rsid w:val="008A1D3E"/>
    <w:rsid w:val="008A215D"/>
    <w:rsid w:val="008A4B16"/>
    <w:rsid w:val="008A4D63"/>
    <w:rsid w:val="008A6D62"/>
    <w:rsid w:val="008B062B"/>
    <w:rsid w:val="008B0E47"/>
    <w:rsid w:val="008B13E9"/>
    <w:rsid w:val="008B3B51"/>
    <w:rsid w:val="008B4057"/>
    <w:rsid w:val="008B4145"/>
    <w:rsid w:val="008B4CAC"/>
    <w:rsid w:val="008B5290"/>
    <w:rsid w:val="008C2CFD"/>
    <w:rsid w:val="008C57D6"/>
    <w:rsid w:val="008C603A"/>
    <w:rsid w:val="008C71C8"/>
    <w:rsid w:val="008D167D"/>
    <w:rsid w:val="008D261F"/>
    <w:rsid w:val="008D492A"/>
    <w:rsid w:val="008D4B58"/>
    <w:rsid w:val="008D4B8A"/>
    <w:rsid w:val="008D6541"/>
    <w:rsid w:val="008D7D7B"/>
    <w:rsid w:val="008E0F52"/>
    <w:rsid w:val="008E2316"/>
    <w:rsid w:val="008E34BE"/>
    <w:rsid w:val="008E42F4"/>
    <w:rsid w:val="008E5307"/>
    <w:rsid w:val="008E5657"/>
    <w:rsid w:val="008E5E51"/>
    <w:rsid w:val="008E6220"/>
    <w:rsid w:val="008E721F"/>
    <w:rsid w:val="008E7D63"/>
    <w:rsid w:val="008F00DB"/>
    <w:rsid w:val="008F1002"/>
    <w:rsid w:val="008F110E"/>
    <w:rsid w:val="008F1264"/>
    <w:rsid w:val="008F47C6"/>
    <w:rsid w:val="008F4CF7"/>
    <w:rsid w:val="008F4EDF"/>
    <w:rsid w:val="008F5948"/>
    <w:rsid w:val="00900093"/>
    <w:rsid w:val="009006A2"/>
    <w:rsid w:val="0090102B"/>
    <w:rsid w:val="00901448"/>
    <w:rsid w:val="009026AD"/>
    <w:rsid w:val="009036BC"/>
    <w:rsid w:val="00903AFB"/>
    <w:rsid w:val="00904F99"/>
    <w:rsid w:val="00905C47"/>
    <w:rsid w:val="00906379"/>
    <w:rsid w:val="0090638B"/>
    <w:rsid w:val="00906393"/>
    <w:rsid w:val="00907086"/>
    <w:rsid w:val="009101EA"/>
    <w:rsid w:val="009106FC"/>
    <w:rsid w:val="0091090F"/>
    <w:rsid w:val="009118BB"/>
    <w:rsid w:val="0091191F"/>
    <w:rsid w:val="00912A2F"/>
    <w:rsid w:val="009148F3"/>
    <w:rsid w:val="00915B81"/>
    <w:rsid w:val="00915D6B"/>
    <w:rsid w:val="009160DF"/>
    <w:rsid w:val="009162C7"/>
    <w:rsid w:val="00916EC2"/>
    <w:rsid w:val="009174FB"/>
    <w:rsid w:val="009178BD"/>
    <w:rsid w:val="0092102A"/>
    <w:rsid w:val="009213BD"/>
    <w:rsid w:val="00921AA2"/>
    <w:rsid w:val="00922DC3"/>
    <w:rsid w:val="00923AFA"/>
    <w:rsid w:val="00924627"/>
    <w:rsid w:val="009250A8"/>
    <w:rsid w:val="009255BA"/>
    <w:rsid w:val="00925BE6"/>
    <w:rsid w:val="0092658D"/>
    <w:rsid w:val="00926F61"/>
    <w:rsid w:val="00927BDE"/>
    <w:rsid w:val="0093123D"/>
    <w:rsid w:val="00933040"/>
    <w:rsid w:val="009330E9"/>
    <w:rsid w:val="00933B95"/>
    <w:rsid w:val="00935B49"/>
    <w:rsid w:val="00935D15"/>
    <w:rsid w:val="009411FB"/>
    <w:rsid w:val="009414A9"/>
    <w:rsid w:val="00941B71"/>
    <w:rsid w:val="00941F73"/>
    <w:rsid w:val="009421AD"/>
    <w:rsid w:val="0094221C"/>
    <w:rsid w:val="0094409C"/>
    <w:rsid w:val="00944159"/>
    <w:rsid w:val="009444D9"/>
    <w:rsid w:val="009449B2"/>
    <w:rsid w:val="00944A82"/>
    <w:rsid w:val="00946C4D"/>
    <w:rsid w:val="009471B7"/>
    <w:rsid w:val="009502A9"/>
    <w:rsid w:val="00951348"/>
    <w:rsid w:val="0095285B"/>
    <w:rsid w:val="00953FE9"/>
    <w:rsid w:val="0095481C"/>
    <w:rsid w:val="009567E6"/>
    <w:rsid w:val="00957076"/>
    <w:rsid w:val="00957132"/>
    <w:rsid w:val="009576FD"/>
    <w:rsid w:val="009578EB"/>
    <w:rsid w:val="009578FF"/>
    <w:rsid w:val="00960446"/>
    <w:rsid w:val="009610ED"/>
    <w:rsid w:val="00961DDB"/>
    <w:rsid w:val="00962AF9"/>
    <w:rsid w:val="009633BB"/>
    <w:rsid w:val="0096353B"/>
    <w:rsid w:val="0096485F"/>
    <w:rsid w:val="00966B46"/>
    <w:rsid w:val="0096726D"/>
    <w:rsid w:val="00967354"/>
    <w:rsid w:val="00971592"/>
    <w:rsid w:val="00971DDF"/>
    <w:rsid w:val="009731D6"/>
    <w:rsid w:val="00974746"/>
    <w:rsid w:val="00975119"/>
    <w:rsid w:val="00976F04"/>
    <w:rsid w:val="009777F4"/>
    <w:rsid w:val="00977AD8"/>
    <w:rsid w:val="00980A10"/>
    <w:rsid w:val="00981130"/>
    <w:rsid w:val="009813C0"/>
    <w:rsid w:val="00983038"/>
    <w:rsid w:val="00983D46"/>
    <w:rsid w:val="00983DCA"/>
    <w:rsid w:val="00985EF7"/>
    <w:rsid w:val="00986396"/>
    <w:rsid w:val="00986CF9"/>
    <w:rsid w:val="00987416"/>
    <w:rsid w:val="0098755A"/>
    <w:rsid w:val="009907E2"/>
    <w:rsid w:val="00990894"/>
    <w:rsid w:val="00990C0E"/>
    <w:rsid w:val="00990D75"/>
    <w:rsid w:val="00991093"/>
    <w:rsid w:val="0099163B"/>
    <w:rsid w:val="00991B92"/>
    <w:rsid w:val="00992343"/>
    <w:rsid w:val="00992958"/>
    <w:rsid w:val="00996303"/>
    <w:rsid w:val="00996306"/>
    <w:rsid w:val="00996744"/>
    <w:rsid w:val="009967DA"/>
    <w:rsid w:val="0099705B"/>
    <w:rsid w:val="00997CF4"/>
    <w:rsid w:val="009A1169"/>
    <w:rsid w:val="009A1AAC"/>
    <w:rsid w:val="009A3789"/>
    <w:rsid w:val="009A4860"/>
    <w:rsid w:val="009A6919"/>
    <w:rsid w:val="009A6AC7"/>
    <w:rsid w:val="009A6CC2"/>
    <w:rsid w:val="009A7831"/>
    <w:rsid w:val="009B0408"/>
    <w:rsid w:val="009B0843"/>
    <w:rsid w:val="009B1E47"/>
    <w:rsid w:val="009B20D0"/>
    <w:rsid w:val="009B2CED"/>
    <w:rsid w:val="009B345D"/>
    <w:rsid w:val="009B5A4D"/>
    <w:rsid w:val="009B6169"/>
    <w:rsid w:val="009B7321"/>
    <w:rsid w:val="009B7A72"/>
    <w:rsid w:val="009B7BB8"/>
    <w:rsid w:val="009C126A"/>
    <w:rsid w:val="009C1D4C"/>
    <w:rsid w:val="009C2DD2"/>
    <w:rsid w:val="009C441F"/>
    <w:rsid w:val="009C4A07"/>
    <w:rsid w:val="009C4B8E"/>
    <w:rsid w:val="009C51D5"/>
    <w:rsid w:val="009C543C"/>
    <w:rsid w:val="009C553F"/>
    <w:rsid w:val="009C599A"/>
    <w:rsid w:val="009C650E"/>
    <w:rsid w:val="009C6564"/>
    <w:rsid w:val="009C70DB"/>
    <w:rsid w:val="009D0E75"/>
    <w:rsid w:val="009D132B"/>
    <w:rsid w:val="009D19BC"/>
    <w:rsid w:val="009D2348"/>
    <w:rsid w:val="009D2F0C"/>
    <w:rsid w:val="009D3578"/>
    <w:rsid w:val="009D3A5F"/>
    <w:rsid w:val="009D3EF3"/>
    <w:rsid w:val="009D5193"/>
    <w:rsid w:val="009D5C32"/>
    <w:rsid w:val="009D6472"/>
    <w:rsid w:val="009D79F4"/>
    <w:rsid w:val="009E031C"/>
    <w:rsid w:val="009E2B4C"/>
    <w:rsid w:val="009E308C"/>
    <w:rsid w:val="009E3CD1"/>
    <w:rsid w:val="009E4AB3"/>
    <w:rsid w:val="009E5AF5"/>
    <w:rsid w:val="009E5EB5"/>
    <w:rsid w:val="009E74F0"/>
    <w:rsid w:val="009F0768"/>
    <w:rsid w:val="009F5AD9"/>
    <w:rsid w:val="009F7867"/>
    <w:rsid w:val="009F7D66"/>
    <w:rsid w:val="00A00BD2"/>
    <w:rsid w:val="00A00E56"/>
    <w:rsid w:val="00A01C99"/>
    <w:rsid w:val="00A027F3"/>
    <w:rsid w:val="00A02FAD"/>
    <w:rsid w:val="00A03978"/>
    <w:rsid w:val="00A05DF3"/>
    <w:rsid w:val="00A05F1A"/>
    <w:rsid w:val="00A0670C"/>
    <w:rsid w:val="00A0689F"/>
    <w:rsid w:val="00A07E08"/>
    <w:rsid w:val="00A12798"/>
    <w:rsid w:val="00A14C5B"/>
    <w:rsid w:val="00A153BE"/>
    <w:rsid w:val="00A15DEE"/>
    <w:rsid w:val="00A167B5"/>
    <w:rsid w:val="00A168A6"/>
    <w:rsid w:val="00A16DBE"/>
    <w:rsid w:val="00A17C4F"/>
    <w:rsid w:val="00A20653"/>
    <w:rsid w:val="00A20A39"/>
    <w:rsid w:val="00A21013"/>
    <w:rsid w:val="00A2190A"/>
    <w:rsid w:val="00A22681"/>
    <w:rsid w:val="00A238BD"/>
    <w:rsid w:val="00A23DA4"/>
    <w:rsid w:val="00A24372"/>
    <w:rsid w:val="00A243E4"/>
    <w:rsid w:val="00A2459D"/>
    <w:rsid w:val="00A24E23"/>
    <w:rsid w:val="00A25F05"/>
    <w:rsid w:val="00A27EB3"/>
    <w:rsid w:val="00A311AE"/>
    <w:rsid w:val="00A312A6"/>
    <w:rsid w:val="00A3130E"/>
    <w:rsid w:val="00A324CF"/>
    <w:rsid w:val="00A32E8B"/>
    <w:rsid w:val="00A32ED6"/>
    <w:rsid w:val="00A344A5"/>
    <w:rsid w:val="00A346C3"/>
    <w:rsid w:val="00A42D07"/>
    <w:rsid w:val="00A450C0"/>
    <w:rsid w:val="00A45468"/>
    <w:rsid w:val="00A455F8"/>
    <w:rsid w:val="00A4791B"/>
    <w:rsid w:val="00A50A48"/>
    <w:rsid w:val="00A51242"/>
    <w:rsid w:val="00A51522"/>
    <w:rsid w:val="00A51573"/>
    <w:rsid w:val="00A51A5E"/>
    <w:rsid w:val="00A52895"/>
    <w:rsid w:val="00A53DA0"/>
    <w:rsid w:val="00A55350"/>
    <w:rsid w:val="00A5765D"/>
    <w:rsid w:val="00A607CB"/>
    <w:rsid w:val="00A6351F"/>
    <w:rsid w:val="00A65A70"/>
    <w:rsid w:val="00A66F36"/>
    <w:rsid w:val="00A676D9"/>
    <w:rsid w:val="00A67EFC"/>
    <w:rsid w:val="00A7031E"/>
    <w:rsid w:val="00A71140"/>
    <w:rsid w:val="00A71DC7"/>
    <w:rsid w:val="00A72B7B"/>
    <w:rsid w:val="00A72EA0"/>
    <w:rsid w:val="00A73790"/>
    <w:rsid w:val="00A73C9A"/>
    <w:rsid w:val="00A74692"/>
    <w:rsid w:val="00A75726"/>
    <w:rsid w:val="00A7618B"/>
    <w:rsid w:val="00A7640B"/>
    <w:rsid w:val="00A7778B"/>
    <w:rsid w:val="00A803BC"/>
    <w:rsid w:val="00A80969"/>
    <w:rsid w:val="00A84805"/>
    <w:rsid w:val="00A858C5"/>
    <w:rsid w:val="00A86EA7"/>
    <w:rsid w:val="00A91244"/>
    <w:rsid w:val="00A91778"/>
    <w:rsid w:val="00A91AA1"/>
    <w:rsid w:val="00A92776"/>
    <w:rsid w:val="00A93181"/>
    <w:rsid w:val="00A938E6"/>
    <w:rsid w:val="00A93CCF"/>
    <w:rsid w:val="00A95BD5"/>
    <w:rsid w:val="00A96F78"/>
    <w:rsid w:val="00A97A53"/>
    <w:rsid w:val="00AA1087"/>
    <w:rsid w:val="00AA25A9"/>
    <w:rsid w:val="00AA26D9"/>
    <w:rsid w:val="00AA3DEA"/>
    <w:rsid w:val="00AA4759"/>
    <w:rsid w:val="00AA51AD"/>
    <w:rsid w:val="00AA591E"/>
    <w:rsid w:val="00AA65C9"/>
    <w:rsid w:val="00AA7CAB"/>
    <w:rsid w:val="00AA7E8F"/>
    <w:rsid w:val="00AB0A32"/>
    <w:rsid w:val="00AB0E56"/>
    <w:rsid w:val="00AB3A15"/>
    <w:rsid w:val="00AB4ECC"/>
    <w:rsid w:val="00AB6601"/>
    <w:rsid w:val="00AB674E"/>
    <w:rsid w:val="00AB6D79"/>
    <w:rsid w:val="00AB7806"/>
    <w:rsid w:val="00AC02C1"/>
    <w:rsid w:val="00AC0AB6"/>
    <w:rsid w:val="00AC10AD"/>
    <w:rsid w:val="00AC1E55"/>
    <w:rsid w:val="00AC276B"/>
    <w:rsid w:val="00AC429F"/>
    <w:rsid w:val="00AC53F7"/>
    <w:rsid w:val="00AC5BC3"/>
    <w:rsid w:val="00AC60B4"/>
    <w:rsid w:val="00AD00C5"/>
    <w:rsid w:val="00AD0FC2"/>
    <w:rsid w:val="00AD165F"/>
    <w:rsid w:val="00AD2794"/>
    <w:rsid w:val="00AD2B9F"/>
    <w:rsid w:val="00AD2DC5"/>
    <w:rsid w:val="00AD3455"/>
    <w:rsid w:val="00AD3CAD"/>
    <w:rsid w:val="00AD4960"/>
    <w:rsid w:val="00AD69FF"/>
    <w:rsid w:val="00AD702B"/>
    <w:rsid w:val="00AD72E6"/>
    <w:rsid w:val="00AD7C95"/>
    <w:rsid w:val="00AE0960"/>
    <w:rsid w:val="00AE3DE1"/>
    <w:rsid w:val="00AE44AC"/>
    <w:rsid w:val="00AE60C3"/>
    <w:rsid w:val="00AE63B3"/>
    <w:rsid w:val="00AE6E76"/>
    <w:rsid w:val="00AE6F68"/>
    <w:rsid w:val="00AE7527"/>
    <w:rsid w:val="00AF127E"/>
    <w:rsid w:val="00AF259C"/>
    <w:rsid w:val="00AF2D54"/>
    <w:rsid w:val="00AF3458"/>
    <w:rsid w:val="00AF3F7B"/>
    <w:rsid w:val="00AF4145"/>
    <w:rsid w:val="00AF42B4"/>
    <w:rsid w:val="00AF4B8A"/>
    <w:rsid w:val="00AF4F1B"/>
    <w:rsid w:val="00AF5EC6"/>
    <w:rsid w:val="00AF66B6"/>
    <w:rsid w:val="00AF6E8A"/>
    <w:rsid w:val="00AF7213"/>
    <w:rsid w:val="00AF7D92"/>
    <w:rsid w:val="00B00C28"/>
    <w:rsid w:val="00B011CC"/>
    <w:rsid w:val="00B022D6"/>
    <w:rsid w:val="00B02A2D"/>
    <w:rsid w:val="00B03575"/>
    <w:rsid w:val="00B04048"/>
    <w:rsid w:val="00B04F3D"/>
    <w:rsid w:val="00B05702"/>
    <w:rsid w:val="00B06DD9"/>
    <w:rsid w:val="00B06F15"/>
    <w:rsid w:val="00B07CD6"/>
    <w:rsid w:val="00B07E09"/>
    <w:rsid w:val="00B07E52"/>
    <w:rsid w:val="00B10010"/>
    <w:rsid w:val="00B11775"/>
    <w:rsid w:val="00B12632"/>
    <w:rsid w:val="00B12660"/>
    <w:rsid w:val="00B12F5F"/>
    <w:rsid w:val="00B1302D"/>
    <w:rsid w:val="00B149A6"/>
    <w:rsid w:val="00B1513F"/>
    <w:rsid w:val="00B15B31"/>
    <w:rsid w:val="00B15B89"/>
    <w:rsid w:val="00B1746F"/>
    <w:rsid w:val="00B17EA8"/>
    <w:rsid w:val="00B20725"/>
    <w:rsid w:val="00B20B94"/>
    <w:rsid w:val="00B2506B"/>
    <w:rsid w:val="00B2628E"/>
    <w:rsid w:val="00B26611"/>
    <w:rsid w:val="00B266B0"/>
    <w:rsid w:val="00B27921"/>
    <w:rsid w:val="00B3000E"/>
    <w:rsid w:val="00B326A8"/>
    <w:rsid w:val="00B329EB"/>
    <w:rsid w:val="00B32B4A"/>
    <w:rsid w:val="00B33508"/>
    <w:rsid w:val="00B3377E"/>
    <w:rsid w:val="00B35786"/>
    <w:rsid w:val="00B358E1"/>
    <w:rsid w:val="00B35DA4"/>
    <w:rsid w:val="00B37425"/>
    <w:rsid w:val="00B4069C"/>
    <w:rsid w:val="00B40A96"/>
    <w:rsid w:val="00B4184B"/>
    <w:rsid w:val="00B422A7"/>
    <w:rsid w:val="00B42A32"/>
    <w:rsid w:val="00B42FA6"/>
    <w:rsid w:val="00B431AE"/>
    <w:rsid w:val="00B4399E"/>
    <w:rsid w:val="00B43A16"/>
    <w:rsid w:val="00B44666"/>
    <w:rsid w:val="00B45C10"/>
    <w:rsid w:val="00B45CE1"/>
    <w:rsid w:val="00B46A75"/>
    <w:rsid w:val="00B500CD"/>
    <w:rsid w:val="00B51BB0"/>
    <w:rsid w:val="00B5239C"/>
    <w:rsid w:val="00B53893"/>
    <w:rsid w:val="00B548C2"/>
    <w:rsid w:val="00B55428"/>
    <w:rsid w:val="00B55E5C"/>
    <w:rsid w:val="00B570BF"/>
    <w:rsid w:val="00B60CDC"/>
    <w:rsid w:val="00B61188"/>
    <w:rsid w:val="00B62047"/>
    <w:rsid w:val="00B63337"/>
    <w:rsid w:val="00B6369F"/>
    <w:rsid w:val="00B639D7"/>
    <w:rsid w:val="00B64AA7"/>
    <w:rsid w:val="00B64E10"/>
    <w:rsid w:val="00B66594"/>
    <w:rsid w:val="00B67805"/>
    <w:rsid w:val="00B67939"/>
    <w:rsid w:val="00B70A76"/>
    <w:rsid w:val="00B71BBD"/>
    <w:rsid w:val="00B71EA5"/>
    <w:rsid w:val="00B71F30"/>
    <w:rsid w:val="00B721CD"/>
    <w:rsid w:val="00B7267A"/>
    <w:rsid w:val="00B726FF"/>
    <w:rsid w:val="00B7291A"/>
    <w:rsid w:val="00B72A91"/>
    <w:rsid w:val="00B72AA4"/>
    <w:rsid w:val="00B75454"/>
    <w:rsid w:val="00B75603"/>
    <w:rsid w:val="00B76BCD"/>
    <w:rsid w:val="00B76EE9"/>
    <w:rsid w:val="00B77880"/>
    <w:rsid w:val="00B80D90"/>
    <w:rsid w:val="00B80E77"/>
    <w:rsid w:val="00B82613"/>
    <w:rsid w:val="00B828B5"/>
    <w:rsid w:val="00B84E9C"/>
    <w:rsid w:val="00B85522"/>
    <w:rsid w:val="00B8593C"/>
    <w:rsid w:val="00B869DF"/>
    <w:rsid w:val="00B90E2A"/>
    <w:rsid w:val="00B90F2A"/>
    <w:rsid w:val="00B9198D"/>
    <w:rsid w:val="00B93008"/>
    <w:rsid w:val="00B94025"/>
    <w:rsid w:val="00B9406D"/>
    <w:rsid w:val="00B94BA7"/>
    <w:rsid w:val="00B94BE9"/>
    <w:rsid w:val="00B94E0E"/>
    <w:rsid w:val="00B95269"/>
    <w:rsid w:val="00B97CA3"/>
    <w:rsid w:val="00BA2B80"/>
    <w:rsid w:val="00BA3D7B"/>
    <w:rsid w:val="00BA76A9"/>
    <w:rsid w:val="00BB3E2B"/>
    <w:rsid w:val="00BB5043"/>
    <w:rsid w:val="00BB5D1C"/>
    <w:rsid w:val="00BB6552"/>
    <w:rsid w:val="00BB6ADD"/>
    <w:rsid w:val="00BB6B9B"/>
    <w:rsid w:val="00BB754F"/>
    <w:rsid w:val="00BB7E5A"/>
    <w:rsid w:val="00BC07A1"/>
    <w:rsid w:val="00BC07D4"/>
    <w:rsid w:val="00BC0A5D"/>
    <w:rsid w:val="00BC0BE3"/>
    <w:rsid w:val="00BC1AD9"/>
    <w:rsid w:val="00BC32E7"/>
    <w:rsid w:val="00BC348E"/>
    <w:rsid w:val="00BC5037"/>
    <w:rsid w:val="00BC58B9"/>
    <w:rsid w:val="00BC70FB"/>
    <w:rsid w:val="00BD3E68"/>
    <w:rsid w:val="00BD504A"/>
    <w:rsid w:val="00BD598A"/>
    <w:rsid w:val="00BD75B4"/>
    <w:rsid w:val="00BD7BFE"/>
    <w:rsid w:val="00BD7D14"/>
    <w:rsid w:val="00BE02B4"/>
    <w:rsid w:val="00BE0A4E"/>
    <w:rsid w:val="00BE1553"/>
    <w:rsid w:val="00BE19DC"/>
    <w:rsid w:val="00BE41EC"/>
    <w:rsid w:val="00BE4702"/>
    <w:rsid w:val="00BE4EC9"/>
    <w:rsid w:val="00BE56B1"/>
    <w:rsid w:val="00BE631E"/>
    <w:rsid w:val="00BE71F7"/>
    <w:rsid w:val="00BF0CCF"/>
    <w:rsid w:val="00BF0FC5"/>
    <w:rsid w:val="00BF10BC"/>
    <w:rsid w:val="00BF21AC"/>
    <w:rsid w:val="00BF2E53"/>
    <w:rsid w:val="00BF3133"/>
    <w:rsid w:val="00BF3669"/>
    <w:rsid w:val="00BF3C0D"/>
    <w:rsid w:val="00BF3FF0"/>
    <w:rsid w:val="00BF711C"/>
    <w:rsid w:val="00BF7C74"/>
    <w:rsid w:val="00C00ED8"/>
    <w:rsid w:val="00C03309"/>
    <w:rsid w:val="00C03452"/>
    <w:rsid w:val="00C067D5"/>
    <w:rsid w:val="00C072FE"/>
    <w:rsid w:val="00C12E39"/>
    <w:rsid w:val="00C13151"/>
    <w:rsid w:val="00C13DA5"/>
    <w:rsid w:val="00C14164"/>
    <w:rsid w:val="00C15D8E"/>
    <w:rsid w:val="00C17012"/>
    <w:rsid w:val="00C178FB"/>
    <w:rsid w:val="00C22B28"/>
    <w:rsid w:val="00C22B5A"/>
    <w:rsid w:val="00C230BF"/>
    <w:rsid w:val="00C23E6D"/>
    <w:rsid w:val="00C247BF"/>
    <w:rsid w:val="00C257B7"/>
    <w:rsid w:val="00C27265"/>
    <w:rsid w:val="00C272E8"/>
    <w:rsid w:val="00C311EC"/>
    <w:rsid w:val="00C33359"/>
    <w:rsid w:val="00C348D6"/>
    <w:rsid w:val="00C365E7"/>
    <w:rsid w:val="00C36E34"/>
    <w:rsid w:val="00C404EE"/>
    <w:rsid w:val="00C40D2D"/>
    <w:rsid w:val="00C40FC3"/>
    <w:rsid w:val="00C4171B"/>
    <w:rsid w:val="00C42689"/>
    <w:rsid w:val="00C42988"/>
    <w:rsid w:val="00C42BD4"/>
    <w:rsid w:val="00C43547"/>
    <w:rsid w:val="00C43FF0"/>
    <w:rsid w:val="00C44641"/>
    <w:rsid w:val="00C45DFD"/>
    <w:rsid w:val="00C45EF5"/>
    <w:rsid w:val="00C46B7E"/>
    <w:rsid w:val="00C47EB8"/>
    <w:rsid w:val="00C50680"/>
    <w:rsid w:val="00C50A4E"/>
    <w:rsid w:val="00C50B71"/>
    <w:rsid w:val="00C520B1"/>
    <w:rsid w:val="00C522D6"/>
    <w:rsid w:val="00C5306D"/>
    <w:rsid w:val="00C54010"/>
    <w:rsid w:val="00C54020"/>
    <w:rsid w:val="00C5406F"/>
    <w:rsid w:val="00C545C5"/>
    <w:rsid w:val="00C55566"/>
    <w:rsid w:val="00C55B1D"/>
    <w:rsid w:val="00C568FE"/>
    <w:rsid w:val="00C573E9"/>
    <w:rsid w:val="00C5749F"/>
    <w:rsid w:val="00C6038F"/>
    <w:rsid w:val="00C61498"/>
    <w:rsid w:val="00C61D4B"/>
    <w:rsid w:val="00C6225E"/>
    <w:rsid w:val="00C62B0A"/>
    <w:rsid w:val="00C63F08"/>
    <w:rsid w:val="00C6528C"/>
    <w:rsid w:val="00C661E8"/>
    <w:rsid w:val="00C663A8"/>
    <w:rsid w:val="00C6648F"/>
    <w:rsid w:val="00C66540"/>
    <w:rsid w:val="00C66D27"/>
    <w:rsid w:val="00C66E69"/>
    <w:rsid w:val="00C70084"/>
    <w:rsid w:val="00C7235B"/>
    <w:rsid w:val="00C725B1"/>
    <w:rsid w:val="00C72E18"/>
    <w:rsid w:val="00C731AD"/>
    <w:rsid w:val="00C73379"/>
    <w:rsid w:val="00C7380B"/>
    <w:rsid w:val="00C74421"/>
    <w:rsid w:val="00C7542D"/>
    <w:rsid w:val="00C75F2F"/>
    <w:rsid w:val="00C75FEE"/>
    <w:rsid w:val="00C76F1D"/>
    <w:rsid w:val="00C77D26"/>
    <w:rsid w:val="00C80BDF"/>
    <w:rsid w:val="00C84D39"/>
    <w:rsid w:val="00C85277"/>
    <w:rsid w:val="00C85556"/>
    <w:rsid w:val="00C85D76"/>
    <w:rsid w:val="00C864D4"/>
    <w:rsid w:val="00C873AC"/>
    <w:rsid w:val="00C87B19"/>
    <w:rsid w:val="00C90828"/>
    <w:rsid w:val="00C92490"/>
    <w:rsid w:val="00C93462"/>
    <w:rsid w:val="00C94384"/>
    <w:rsid w:val="00C94A30"/>
    <w:rsid w:val="00C94A34"/>
    <w:rsid w:val="00C94C2B"/>
    <w:rsid w:val="00C96F79"/>
    <w:rsid w:val="00C97CF9"/>
    <w:rsid w:val="00CA0642"/>
    <w:rsid w:val="00CA17DD"/>
    <w:rsid w:val="00CA1863"/>
    <w:rsid w:val="00CA192A"/>
    <w:rsid w:val="00CA26CE"/>
    <w:rsid w:val="00CA391D"/>
    <w:rsid w:val="00CA3ACD"/>
    <w:rsid w:val="00CA4F8B"/>
    <w:rsid w:val="00CA6426"/>
    <w:rsid w:val="00CA64D5"/>
    <w:rsid w:val="00CA76DF"/>
    <w:rsid w:val="00CB09DA"/>
    <w:rsid w:val="00CB0BC0"/>
    <w:rsid w:val="00CB0BD9"/>
    <w:rsid w:val="00CB1CAC"/>
    <w:rsid w:val="00CB1D87"/>
    <w:rsid w:val="00CB1DE8"/>
    <w:rsid w:val="00CB1E3B"/>
    <w:rsid w:val="00CB1F1D"/>
    <w:rsid w:val="00CB3C8E"/>
    <w:rsid w:val="00CB4212"/>
    <w:rsid w:val="00CB45BC"/>
    <w:rsid w:val="00CB4C59"/>
    <w:rsid w:val="00CB600D"/>
    <w:rsid w:val="00CB71F8"/>
    <w:rsid w:val="00CC26DB"/>
    <w:rsid w:val="00CC300C"/>
    <w:rsid w:val="00CC35AE"/>
    <w:rsid w:val="00CC3837"/>
    <w:rsid w:val="00CC3DAA"/>
    <w:rsid w:val="00CC43B0"/>
    <w:rsid w:val="00CC49C7"/>
    <w:rsid w:val="00CC4B65"/>
    <w:rsid w:val="00CC4C2C"/>
    <w:rsid w:val="00CC5057"/>
    <w:rsid w:val="00CC587F"/>
    <w:rsid w:val="00CC79E9"/>
    <w:rsid w:val="00CD0126"/>
    <w:rsid w:val="00CD078F"/>
    <w:rsid w:val="00CD121E"/>
    <w:rsid w:val="00CD1922"/>
    <w:rsid w:val="00CD27A8"/>
    <w:rsid w:val="00CD28F0"/>
    <w:rsid w:val="00CD3ED8"/>
    <w:rsid w:val="00CD6190"/>
    <w:rsid w:val="00CD736C"/>
    <w:rsid w:val="00CD761D"/>
    <w:rsid w:val="00CD76B5"/>
    <w:rsid w:val="00CE1757"/>
    <w:rsid w:val="00CE17F4"/>
    <w:rsid w:val="00CE2346"/>
    <w:rsid w:val="00CE2B02"/>
    <w:rsid w:val="00CE3B50"/>
    <w:rsid w:val="00CE4F2D"/>
    <w:rsid w:val="00CE6F0F"/>
    <w:rsid w:val="00CE7C7C"/>
    <w:rsid w:val="00CF002F"/>
    <w:rsid w:val="00CF0246"/>
    <w:rsid w:val="00CF0C02"/>
    <w:rsid w:val="00CF1899"/>
    <w:rsid w:val="00CF2483"/>
    <w:rsid w:val="00CF24E2"/>
    <w:rsid w:val="00CF321D"/>
    <w:rsid w:val="00CF393D"/>
    <w:rsid w:val="00CF4ABD"/>
    <w:rsid w:val="00CF4B18"/>
    <w:rsid w:val="00CF5A53"/>
    <w:rsid w:val="00CF5D28"/>
    <w:rsid w:val="00CF6942"/>
    <w:rsid w:val="00CF6F1E"/>
    <w:rsid w:val="00D001F9"/>
    <w:rsid w:val="00D0036E"/>
    <w:rsid w:val="00D00BB7"/>
    <w:rsid w:val="00D01EAD"/>
    <w:rsid w:val="00D02C62"/>
    <w:rsid w:val="00D035B9"/>
    <w:rsid w:val="00D05C04"/>
    <w:rsid w:val="00D060FF"/>
    <w:rsid w:val="00D064E8"/>
    <w:rsid w:val="00D06572"/>
    <w:rsid w:val="00D065CD"/>
    <w:rsid w:val="00D07D93"/>
    <w:rsid w:val="00D10A21"/>
    <w:rsid w:val="00D11FA6"/>
    <w:rsid w:val="00D12325"/>
    <w:rsid w:val="00D14487"/>
    <w:rsid w:val="00D14DBB"/>
    <w:rsid w:val="00D15E7E"/>
    <w:rsid w:val="00D162EF"/>
    <w:rsid w:val="00D17A1F"/>
    <w:rsid w:val="00D20016"/>
    <w:rsid w:val="00D207A7"/>
    <w:rsid w:val="00D20CD6"/>
    <w:rsid w:val="00D20E00"/>
    <w:rsid w:val="00D21005"/>
    <w:rsid w:val="00D21771"/>
    <w:rsid w:val="00D21DBE"/>
    <w:rsid w:val="00D2279F"/>
    <w:rsid w:val="00D22AF1"/>
    <w:rsid w:val="00D22E93"/>
    <w:rsid w:val="00D242DA"/>
    <w:rsid w:val="00D25BD5"/>
    <w:rsid w:val="00D26448"/>
    <w:rsid w:val="00D264CE"/>
    <w:rsid w:val="00D26670"/>
    <w:rsid w:val="00D27137"/>
    <w:rsid w:val="00D27B8B"/>
    <w:rsid w:val="00D31B6E"/>
    <w:rsid w:val="00D3232B"/>
    <w:rsid w:val="00D3239F"/>
    <w:rsid w:val="00D324A4"/>
    <w:rsid w:val="00D3250C"/>
    <w:rsid w:val="00D328F6"/>
    <w:rsid w:val="00D3462C"/>
    <w:rsid w:val="00D35198"/>
    <w:rsid w:val="00D3584B"/>
    <w:rsid w:val="00D41004"/>
    <w:rsid w:val="00D42240"/>
    <w:rsid w:val="00D427C3"/>
    <w:rsid w:val="00D42EB8"/>
    <w:rsid w:val="00D44932"/>
    <w:rsid w:val="00D44D66"/>
    <w:rsid w:val="00D4575F"/>
    <w:rsid w:val="00D45D77"/>
    <w:rsid w:val="00D46111"/>
    <w:rsid w:val="00D47C16"/>
    <w:rsid w:val="00D502AF"/>
    <w:rsid w:val="00D50764"/>
    <w:rsid w:val="00D50C12"/>
    <w:rsid w:val="00D518FF"/>
    <w:rsid w:val="00D51A77"/>
    <w:rsid w:val="00D52656"/>
    <w:rsid w:val="00D53649"/>
    <w:rsid w:val="00D53830"/>
    <w:rsid w:val="00D54FB3"/>
    <w:rsid w:val="00D55889"/>
    <w:rsid w:val="00D56B5F"/>
    <w:rsid w:val="00D57A3F"/>
    <w:rsid w:val="00D57AF0"/>
    <w:rsid w:val="00D61D30"/>
    <w:rsid w:val="00D62ECD"/>
    <w:rsid w:val="00D6334B"/>
    <w:rsid w:val="00D64426"/>
    <w:rsid w:val="00D645A3"/>
    <w:rsid w:val="00D65D78"/>
    <w:rsid w:val="00D66727"/>
    <w:rsid w:val="00D67BC5"/>
    <w:rsid w:val="00D7021B"/>
    <w:rsid w:val="00D70D33"/>
    <w:rsid w:val="00D728AE"/>
    <w:rsid w:val="00D73077"/>
    <w:rsid w:val="00D736A2"/>
    <w:rsid w:val="00D73C57"/>
    <w:rsid w:val="00D742FF"/>
    <w:rsid w:val="00D758B3"/>
    <w:rsid w:val="00D76ADC"/>
    <w:rsid w:val="00D77413"/>
    <w:rsid w:val="00D7787C"/>
    <w:rsid w:val="00D80414"/>
    <w:rsid w:val="00D80449"/>
    <w:rsid w:val="00D81F10"/>
    <w:rsid w:val="00D8201E"/>
    <w:rsid w:val="00D822EC"/>
    <w:rsid w:val="00D82C91"/>
    <w:rsid w:val="00D8303C"/>
    <w:rsid w:val="00D836F7"/>
    <w:rsid w:val="00D84A57"/>
    <w:rsid w:val="00D84C3B"/>
    <w:rsid w:val="00D84DA7"/>
    <w:rsid w:val="00D864F8"/>
    <w:rsid w:val="00D874DF"/>
    <w:rsid w:val="00D87A12"/>
    <w:rsid w:val="00D87FEF"/>
    <w:rsid w:val="00D930E1"/>
    <w:rsid w:val="00D932AE"/>
    <w:rsid w:val="00D9415C"/>
    <w:rsid w:val="00D942CC"/>
    <w:rsid w:val="00D94ADE"/>
    <w:rsid w:val="00D94D87"/>
    <w:rsid w:val="00D962DC"/>
    <w:rsid w:val="00D97BB5"/>
    <w:rsid w:val="00DA0C12"/>
    <w:rsid w:val="00DA180C"/>
    <w:rsid w:val="00DA1EF7"/>
    <w:rsid w:val="00DA2786"/>
    <w:rsid w:val="00DA2DF8"/>
    <w:rsid w:val="00DA3E7B"/>
    <w:rsid w:val="00DA451D"/>
    <w:rsid w:val="00DA53A6"/>
    <w:rsid w:val="00DA56DB"/>
    <w:rsid w:val="00DA6452"/>
    <w:rsid w:val="00DA6C81"/>
    <w:rsid w:val="00DA6FE9"/>
    <w:rsid w:val="00DA7925"/>
    <w:rsid w:val="00DB050F"/>
    <w:rsid w:val="00DB0AB8"/>
    <w:rsid w:val="00DB0D2A"/>
    <w:rsid w:val="00DB11CD"/>
    <w:rsid w:val="00DB1DAB"/>
    <w:rsid w:val="00DB39D4"/>
    <w:rsid w:val="00DB3A47"/>
    <w:rsid w:val="00DB4E06"/>
    <w:rsid w:val="00DB5636"/>
    <w:rsid w:val="00DB6A80"/>
    <w:rsid w:val="00DB6C06"/>
    <w:rsid w:val="00DB7641"/>
    <w:rsid w:val="00DB7B06"/>
    <w:rsid w:val="00DC2CCF"/>
    <w:rsid w:val="00DC3A9D"/>
    <w:rsid w:val="00DC3FF5"/>
    <w:rsid w:val="00DC6C1E"/>
    <w:rsid w:val="00DC708C"/>
    <w:rsid w:val="00DC73B1"/>
    <w:rsid w:val="00DC7951"/>
    <w:rsid w:val="00DD0F95"/>
    <w:rsid w:val="00DD1C4B"/>
    <w:rsid w:val="00DD1F7B"/>
    <w:rsid w:val="00DD229E"/>
    <w:rsid w:val="00DD3029"/>
    <w:rsid w:val="00DD3E21"/>
    <w:rsid w:val="00DD55E0"/>
    <w:rsid w:val="00DD5E12"/>
    <w:rsid w:val="00DD726A"/>
    <w:rsid w:val="00DE0C66"/>
    <w:rsid w:val="00DE1904"/>
    <w:rsid w:val="00DE3DBB"/>
    <w:rsid w:val="00DE43A2"/>
    <w:rsid w:val="00DE4A74"/>
    <w:rsid w:val="00DE4B05"/>
    <w:rsid w:val="00DE541C"/>
    <w:rsid w:val="00DE5E79"/>
    <w:rsid w:val="00DE737B"/>
    <w:rsid w:val="00DF0587"/>
    <w:rsid w:val="00DF100B"/>
    <w:rsid w:val="00DF23CA"/>
    <w:rsid w:val="00DF2929"/>
    <w:rsid w:val="00DF3B76"/>
    <w:rsid w:val="00DF4359"/>
    <w:rsid w:val="00DF4C1A"/>
    <w:rsid w:val="00DF6E12"/>
    <w:rsid w:val="00DF7751"/>
    <w:rsid w:val="00E012B1"/>
    <w:rsid w:val="00E031BB"/>
    <w:rsid w:val="00E0424A"/>
    <w:rsid w:val="00E0520E"/>
    <w:rsid w:val="00E0576C"/>
    <w:rsid w:val="00E0626B"/>
    <w:rsid w:val="00E068BC"/>
    <w:rsid w:val="00E073F0"/>
    <w:rsid w:val="00E106C5"/>
    <w:rsid w:val="00E10761"/>
    <w:rsid w:val="00E108E4"/>
    <w:rsid w:val="00E10C9B"/>
    <w:rsid w:val="00E11D7A"/>
    <w:rsid w:val="00E11EEB"/>
    <w:rsid w:val="00E128F2"/>
    <w:rsid w:val="00E13883"/>
    <w:rsid w:val="00E13EE4"/>
    <w:rsid w:val="00E146DF"/>
    <w:rsid w:val="00E16463"/>
    <w:rsid w:val="00E20124"/>
    <w:rsid w:val="00E20155"/>
    <w:rsid w:val="00E239D1"/>
    <w:rsid w:val="00E26727"/>
    <w:rsid w:val="00E26970"/>
    <w:rsid w:val="00E27791"/>
    <w:rsid w:val="00E30F2D"/>
    <w:rsid w:val="00E319DB"/>
    <w:rsid w:val="00E31AFC"/>
    <w:rsid w:val="00E331BF"/>
    <w:rsid w:val="00E3409E"/>
    <w:rsid w:val="00E34D5D"/>
    <w:rsid w:val="00E34F76"/>
    <w:rsid w:val="00E37BE5"/>
    <w:rsid w:val="00E41A27"/>
    <w:rsid w:val="00E41E2F"/>
    <w:rsid w:val="00E42910"/>
    <w:rsid w:val="00E430C7"/>
    <w:rsid w:val="00E457DC"/>
    <w:rsid w:val="00E4608B"/>
    <w:rsid w:val="00E464EC"/>
    <w:rsid w:val="00E46FF0"/>
    <w:rsid w:val="00E501D3"/>
    <w:rsid w:val="00E53A01"/>
    <w:rsid w:val="00E553CE"/>
    <w:rsid w:val="00E564C4"/>
    <w:rsid w:val="00E567C9"/>
    <w:rsid w:val="00E604C4"/>
    <w:rsid w:val="00E60809"/>
    <w:rsid w:val="00E611AE"/>
    <w:rsid w:val="00E61300"/>
    <w:rsid w:val="00E614F2"/>
    <w:rsid w:val="00E635B9"/>
    <w:rsid w:val="00E65D15"/>
    <w:rsid w:val="00E66C49"/>
    <w:rsid w:val="00E67EE5"/>
    <w:rsid w:val="00E7013A"/>
    <w:rsid w:val="00E71099"/>
    <w:rsid w:val="00E72AB0"/>
    <w:rsid w:val="00E74035"/>
    <w:rsid w:val="00E74104"/>
    <w:rsid w:val="00E7473C"/>
    <w:rsid w:val="00E74F5D"/>
    <w:rsid w:val="00E750D8"/>
    <w:rsid w:val="00E757A8"/>
    <w:rsid w:val="00E75C06"/>
    <w:rsid w:val="00E76034"/>
    <w:rsid w:val="00E80440"/>
    <w:rsid w:val="00E80515"/>
    <w:rsid w:val="00E817E0"/>
    <w:rsid w:val="00E819FB"/>
    <w:rsid w:val="00E827D2"/>
    <w:rsid w:val="00E82AE8"/>
    <w:rsid w:val="00E82EE4"/>
    <w:rsid w:val="00E831E7"/>
    <w:rsid w:val="00E843B5"/>
    <w:rsid w:val="00E84A3B"/>
    <w:rsid w:val="00E85307"/>
    <w:rsid w:val="00E907E4"/>
    <w:rsid w:val="00E90A24"/>
    <w:rsid w:val="00E90C34"/>
    <w:rsid w:val="00E919AC"/>
    <w:rsid w:val="00E93687"/>
    <w:rsid w:val="00E946A6"/>
    <w:rsid w:val="00E947E4"/>
    <w:rsid w:val="00E94C9F"/>
    <w:rsid w:val="00E96A29"/>
    <w:rsid w:val="00E96B28"/>
    <w:rsid w:val="00E96FE6"/>
    <w:rsid w:val="00EA0A5C"/>
    <w:rsid w:val="00EA0AD2"/>
    <w:rsid w:val="00EA0CF0"/>
    <w:rsid w:val="00EA1D43"/>
    <w:rsid w:val="00EA29B4"/>
    <w:rsid w:val="00EA3DCA"/>
    <w:rsid w:val="00EA4EC9"/>
    <w:rsid w:val="00EA54D5"/>
    <w:rsid w:val="00EA5E0F"/>
    <w:rsid w:val="00EA6103"/>
    <w:rsid w:val="00EA64B3"/>
    <w:rsid w:val="00EA6FE4"/>
    <w:rsid w:val="00EA7555"/>
    <w:rsid w:val="00EA7723"/>
    <w:rsid w:val="00EA7F4C"/>
    <w:rsid w:val="00EB1D47"/>
    <w:rsid w:val="00EB2146"/>
    <w:rsid w:val="00EB2317"/>
    <w:rsid w:val="00EB279B"/>
    <w:rsid w:val="00EB2ABB"/>
    <w:rsid w:val="00EB55CA"/>
    <w:rsid w:val="00EB584C"/>
    <w:rsid w:val="00EB5D88"/>
    <w:rsid w:val="00EB713E"/>
    <w:rsid w:val="00EB7307"/>
    <w:rsid w:val="00EC14B0"/>
    <w:rsid w:val="00EC1F80"/>
    <w:rsid w:val="00EC204E"/>
    <w:rsid w:val="00EC249E"/>
    <w:rsid w:val="00EC2966"/>
    <w:rsid w:val="00EC2CFF"/>
    <w:rsid w:val="00EC3C9D"/>
    <w:rsid w:val="00EC4DEE"/>
    <w:rsid w:val="00EC5F2F"/>
    <w:rsid w:val="00EC5FBC"/>
    <w:rsid w:val="00EC651E"/>
    <w:rsid w:val="00EC692E"/>
    <w:rsid w:val="00EC745E"/>
    <w:rsid w:val="00EC7EAF"/>
    <w:rsid w:val="00ED1759"/>
    <w:rsid w:val="00ED27C3"/>
    <w:rsid w:val="00ED2B21"/>
    <w:rsid w:val="00ED33AE"/>
    <w:rsid w:val="00ED3775"/>
    <w:rsid w:val="00ED4A6D"/>
    <w:rsid w:val="00ED5692"/>
    <w:rsid w:val="00ED6C73"/>
    <w:rsid w:val="00ED6D4A"/>
    <w:rsid w:val="00ED738C"/>
    <w:rsid w:val="00ED7918"/>
    <w:rsid w:val="00ED7FD3"/>
    <w:rsid w:val="00EE16F6"/>
    <w:rsid w:val="00EE1F1A"/>
    <w:rsid w:val="00EE3663"/>
    <w:rsid w:val="00EE41C4"/>
    <w:rsid w:val="00EE4A40"/>
    <w:rsid w:val="00EE619C"/>
    <w:rsid w:val="00EE76A9"/>
    <w:rsid w:val="00EE799E"/>
    <w:rsid w:val="00EE7B5A"/>
    <w:rsid w:val="00EE7C7E"/>
    <w:rsid w:val="00EE7CA8"/>
    <w:rsid w:val="00EE7FA7"/>
    <w:rsid w:val="00EF1093"/>
    <w:rsid w:val="00EF1707"/>
    <w:rsid w:val="00EF1FCB"/>
    <w:rsid w:val="00EF21C3"/>
    <w:rsid w:val="00EF2E6B"/>
    <w:rsid w:val="00EF44F4"/>
    <w:rsid w:val="00EF5F28"/>
    <w:rsid w:val="00F0030E"/>
    <w:rsid w:val="00F00CD1"/>
    <w:rsid w:val="00F01E6B"/>
    <w:rsid w:val="00F0241C"/>
    <w:rsid w:val="00F05759"/>
    <w:rsid w:val="00F06D60"/>
    <w:rsid w:val="00F072C0"/>
    <w:rsid w:val="00F10CB9"/>
    <w:rsid w:val="00F110D5"/>
    <w:rsid w:val="00F11C84"/>
    <w:rsid w:val="00F12351"/>
    <w:rsid w:val="00F1420E"/>
    <w:rsid w:val="00F143A1"/>
    <w:rsid w:val="00F149D1"/>
    <w:rsid w:val="00F16739"/>
    <w:rsid w:val="00F16DE2"/>
    <w:rsid w:val="00F17C5F"/>
    <w:rsid w:val="00F2052B"/>
    <w:rsid w:val="00F210C7"/>
    <w:rsid w:val="00F213FF"/>
    <w:rsid w:val="00F21D14"/>
    <w:rsid w:val="00F2260F"/>
    <w:rsid w:val="00F242AD"/>
    <w:rsid w:val="00F247F2"/>
    <w:rsid w:val="00F252A8"/>
    <w:rsid w:val="00F25C8F"/>
    <w:rsid w:val="00F2608D"/>
    <w:rsid w:val="00F265F7"/>
    <w:rsid w:val="00F27FA6"/>
    <w:rsid w:val="00F33DC8"/>
    <w:rsid w:val="00F34444"/>
    <w:rsid w:val="00F360A6"/>
    <w:rsid w:val="00F37F25"/>
    <w:rsid w:val="00F4065A"/>
    <w:rsid w:val="00F40F19"/>
    <w:rsid w:val="00F4275C"/>
    <w:rsid w:val="00F45693"/>
    <w:rsid w:val="00F45A86"/>
    <w:rsid w:val="00F47983"/>
    <w:rsid w:val="00F5170F"/>
    <w:rsid w:val="00F52339"/>
    <w:rsid w:val="00F5277A"/>
    <w:rsid w:val="00F52876"/>
    <w:rsid w:val="00F532E8"/>
    <w:rsid w:val="00F537FF"/>
    <w:rsid w:val="00F560FE"/>
    <w:rsid w:val="00F569EB"/>
    <w:rsid w:val="00F56C5E"/>
    <w:rsid w:val="00F56EF6"/>
    <w:rsid w:val="00F605B6"/>
    <w:rsid w:val="00F6111C"/>
    <w:rsid w:val="00F613EC"/>
    <w:rsid w:val="00F614C0"/>
    <w:rsid w:val="00F61647"/>
    <w:rsid w:val="00F61F5F"/>
    <w:rsid w:val="00F6280F"/>
    <w:rsid w:val="00F64BEC"/>
    <w:rsid w:val="00F657CF"/>
    <w:rsid w:val="00F66A00"/>
    <w:rsid w:val="00F713A3"/>
    <w:rsid w:val="00F71A8F"/>
    <w:rsid w:val="00F74603"/>
    <w:rsid w:val="00F75240"/>
    <w:rsid w:val="00F75330"/>
    <w:rsid w:val="00F76BD9"/>
    <w:rsid w:val="00F80318"/>
    <w:rsid w:val="00F80703"/>
    <w:rsid w:val="00F80948"/>
    <w:rsid w:val="00F80A7F"/>
    <w:rsid w:val="00F81387"/>
    <w:rsid w:val="00F81835"/>
    <w:rsid w:val="00F81E3D"/>
    <w:rsid w:val="00F822E3"/>
    <w:rsid w:val="00F825B5"/>
    <w:rsid w:val="00F82866"/>
    <w:rsid w:val="00F82906"/>
    <w:rsid w:val="00F84421"/>
    <w:rsid w:val="00F8449B"/>
    <w:rsid w:val="00F84CDE"/>
    <w:rsid w:val="00F85691"/>
    <w:rsid w:val="00F87032"/>
    <w:rsid w:val="00F87094"/>
    <w:rsid w:val="00F87AB3"/>
    <w:rsid w:val="00F913DC"/>
    <w:rsid w:val="00F91DDA"/>
    <w:rsid w:val="00F9397A"/>
    <w:rsid w:val="00F93A37"/>
    <w:rsid w:val="00F94182"/>
    <w:rsid w:val="00F941B5"/>
    <w:rsid w:val="00F944D9"/>
    <w:rsid w:val="00F94DB3"/>
    <w:rsid w:val="00F9606C"/>
    <w:rsid w:val="00F96500"/>
    <w:rsid w:val="00FA3230"/>
    <w:rsid w:val="00FA3F80"/>
    <w:rsid w:val="00FA413A"/>
    <w:rsid w:val="00FA4144"/>
    <w:rsid w:val="00FA4DDF"/>
    <w:rsid w:val="00FA52EC"/>
    <w:rsid w:val="00FA68DC"/>
    <w:rsid w:val="00FA6E7F"/>
    <w:rsid w:val="00FA6EF4"/>
    <w:rsid w:val="00FA7114"/>
    <w:rsid w:val="00FB0826"/>
    <w:rsid w:val="00FB2379"/>
    <w:rsid w:val="00FB4407"/>
    <w:rsid w:val="00FB4B8A"/>
    <w:rsid w:val="00FB5152"/>
    <w:rsid w:val="00FB680E"/>
    <w:rsid w:val="00FB78F8"/>
    <w:rsid w:val="00FC0065"/>
    <w:rsid w:val="00FC15E7"/>
    <w:rsid w:val="00FC2E4D"/>
    <w:rsid w:val="00FC3AEE"/>
    <w:rsid w:val="00FC6238"/>
    <w:rsid w:val="00FC78AD"/>
    <w:rsid w:val="00FD0D70"/>
    <w:rsid w:val="00FD1D37"/>
    <w:rsid w:val="00FD254A"/>
    <w:rsid w:val="00FD33FC"/>
    <w:rsid w:val="00FD3730"/>
    <w:rsid w:val="00FD3ADE"/>
    <w:rsid w:val="00FD3B08"/>
    <w:rsid w:val="00FD4806"/>
    <w:rsid w:val="00FD4BA4"/>
    <w:rsid w:val="00FD4EFF"/>
    <w:rsid w:val="00FD534E"/>
    <w:rsid w:val="00FD56C7"/>
    <w:rsid w:val="00FD5CBB"/>
    <w:rsid w:val="00FD6B74"/>
    <w:rsid w:val="00FD70AE"/>
    <w:rsid w:val="00FD7356"/>
    <w:rsid w:val="00FD7564"/>
    <w:rsid w:val="00FE002E"/>
    <w:rsid w:val="00FE04B0"/>
    <w:rsid w:val="00FE2398"/>
    <w:rsid w:val="00FE515A"/>
    <w:rsid w:val="00FE5624"/>
    <w:rsid w:val="00FE5D2C"/>
    <w:rsid w:val="00FE5FBF"/>
    <w:rsid w:val="00FE6C25"/>
    <w:rsid w:val="00FF033A"/>
    <w:rsid w:val="00FF035A"/>
    <w:rsid w:val="00FF0964"/>
    <w:rsid w:val="00FF16F2"/>
    <w:rsid w:val="00FF1D24"/>
    <w:rsid w:val="00FF2B42"/>
    <w:rsid w:val="00FF3B7F"/>
    <w:rsid w:val="00FF42A0"/>
    <w:rsid w:val="00FF6822"/>
    <w:rsid w:val="00FF6839"/>
    <w:rsid w:val="00FF73D0"/>
    <w:rsid w:val="1ED417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2D7AF92"/>
  <w15:docId w15:val="{1E467505-FD9A-4AD5-9674-1FF29B15E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uiPriority w:val="99"/>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 ??,?????,????,Lista1,列出段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 ?? Char,????? Char,???? Char,Lista1 Char,列出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paragraph" w:customStyle="1" w:styleId="references">
    <w:name w:val="references"/>
    <w:rsid w:val="00205F67"/>
    <w:pPr>
      <w:numPr>
        <w:numId w:val="4"/>
      </w:numPr>
      <w:spacing w:after="50" w:line="180" w:lineRule="exact"/>
      <w:jc w:val="both"/>
    </w:pPr>
    <w:rPr>
      <w:rFonts w:ascii="Times New Roman" w:eastAsia="MS Mincho" w:hAnsi="Times New Roman"/>
      <w:noProof/>
      <w:sz w:val="16"/>
      <w:szCs w:val="16"/>
    </w:rPr>
  </w:style>
  <w:style w:type="character" w:customStyle="1" w:styleId="TACChar">
    <w:name w:val="TAC Char"/>
    <w:link w:val="TAC"/>
    <w:locked/>
    <w:rsid w:val="0003163F"/>
    <w:rPr>
      <w:rFonts w:ascii="Arial" w:hAnsi="Arial"/>
      <w:sz w:val="18"/>
      <w:lang w:val="en-GB"/>
    </w:rPr>
  </w:style>
  <w:style w:type="character" w:customStyle="1" w:styleId="TAHCar">
    <w:name w:val="TAH Car"/>
    <w:link w:val="TAH"/>
    <w:locked/>
    <w:rsid w:val="0003163F"/>
    <w:rPr>
      <w:rFonts w:ascii="Arial" w:hAnsi="Arial"/>
      <w:b/>
      <w:sz w:val="18"/>
      <w:lang w:val="en-GB"/>
    </w:rPr>
  </w:style>
  <w:style w:type="character" w:styleId="UnresolvedMention">
    <w:name w:val="Unresolved Mention"/>
    <w:basedOn w:val="DefaultParagraphFont"/>
    <w:uiPriority w:val="99"/>
    <w:semiHidden/>
    <w:unhideWhenUsed/>
    <w:rsid w:val="00714BA2"/>
    <w:rPr>
      <w:color w:val="808080"/>
      <w:shd w:val="clear" w:color="auto" w:fill="E6E6E6"/>
    </w:rPr>
  </w:style>
  <w:style w:type="character" w:customStyle="1" w:styleId="normaltextrun1">
    <w:name w:val="normaltextrun1"/>
    <w:basedOn w:val="DefaultParagraphFont"/>
    <w:rsid w:val="00057C54"/>
  </w:style>
  <w:style w:type="paragraph" w:customStyle="1" w:styleId="paragraph">
    <w:name w:val="paragraph"/>
    <w:basedOn w:val="Normal"/>
    <w:rsid w:val="00057C54"/>
    <w:pPr>
      <w:overflowPunct/>
      <w:autoSpaceDE/>
      <w:autoSpaceDN/>
      <w:adjustRightInd/>
      <w:spacing w:after="0"/>
      <w:textAlignment w:val="auto"/>
    </w:pPr>
    <w:rPr>
      <w:rFonts w:eastAsia="Times New Roman"/>
      <w:sz w:val="24"/>
      <w:szCs w:val="24"/>
      <w:lang w:val="fi-FI" w:eastAsia="fi-FI"/>
    </w:rPr>
  </w:style>
  <w:style w:type="character" w:customStyle="1" w:styleId="eop">
    <w:name w:val="eop"/>
    <w:basedOn w:val="DefaultParagraphFont"/>
    <w:rsid w:val="00057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151399">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7161979">
      <w:bodyDiv w:val="1"/>
      <w:marLeft w:val="0"/>
      <w:marRight w:val="0"/>
      <w:marTop w:val="0"/>
      <w:marBottom w:val="0"/>
      <w:divBdr>
        <w:top w:val="none" w:sz="0" w:space="0" w:color="auto"/>
        <w:left w:val="none" w:sz="0" w:space="0" w:color="auto"/>
        <w:bottom w:val="none" w:sz="0" w:space="0" w:color="auto"/>
        <w:right w:val="none" w:sz="0" w:space="0" w:color="auto"/>
      </w:divBdr>
    </w:div>
    <w:div w:id="12046720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660288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53982371">
      <w:bodyDiv w:val="1"/>
      <w:marLeft w:val="0"/>
      <w:marRight w:val="0"/>
      <w:marTop w:val="0"/>
      <w:marBottom w:val="0"/>
      <w:divBdr>
        <w:top w:val="none" w:sz="0" w:space="0" w:color="auto"/>
        <w:left w:val="none" w:sz="0" w:space="0" w:color="auto"/>
        <w:bottom w:val="none" w:sz="0" w:space="0" w:color="auto"/>
        <w:right w:val="none" w:sz="0" w:space="0" w:color="auto"/>
      </w:divBdr>
    </w:div>
    <w:div w:id="255133599">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75740325">
      <w:bodyDiv w:val="1"/>
      <w:marLeft w:val="0"/>
      <w:marRight w:val="0"/>
      <w:marTop w:val="0"/>
      <w:marBottom w:val="0"/>
      <w:divBdr>
        <w:top w:val="none" w:sz="0" w:space="0" w:color="auto"/>
        <w:left w:val="none" w:sz="0" w:space="0" w:color="auto"/>
        <w:bottom w:val="none" w:sz="0" w:space="0" w:color="auto"/>
        <w:right w:val="none" w:sz="0" w:space="0" w:color="auto"/>
      </w:divBdr>
      <w:divsChild>
        <w:div w:id="1282110066">
          <w:marLeft w:val="360"/>
          <w:marRight w:val="0"/>
          <w:marTop w:val="0"/>
          <w:marBottom w:val="120"/>
          <w:divBdr>
            <w:top w:val="none" w:sz="0" w:space="0" w:color="auto"/>
            <w:left w:val="none" w:sz="0" w:space="0" w:color="auto"/>
            <w:bottom w:val="none" w:sz="0" w:space="0" w:color="auto"/>
            <w:right w:val="none" w:sz="0" w:space="0" w:color="auto"/>
          </w:divBdr>
        </w:div>
        <w:div w:id="1425226664">
          <w:marLeft w:val="720"/>
          <w:marRight w:val="0"/>
          <w:marTop w:val="0"/>
          <w:marBottom w:val="120"/>
          <w:divBdr>
            <w:top w:val="none" w:sz="0" w:space="0" w:color="auto"/>
            <w:left w:val="none" w:sz="0" w:space="0" w:color="auto"/>
            <w:bottom w:val="none" w:sz="0" w:space="0" w:color="auto"/>
            <w:right w:val="none" w:sz="0" w:space="0" w:color="auto"/>
          </w:divBdr>
        </w:div>
        <w:div w:id="1973559718">
          <w:marLeft w:val="720"/>
          <w:marRight w:val="0"/>
          <w:marTop w:val="0"/>
          <w:marBottom w:val="120"/>
          <w:divBdr>
            <w:top w:val="none" w:sz="0" w:space="0" w:color="auto"/>
            <w:left w:val="none" w:sz="0" w:space="0" w:color="auto"/>
            <w:bottom w:val="none" w:sz="0" w:space="0" w:color="auto"/>
            <w:right w:val="none" w:sz="0" w:space="0" w:color="auto"/>
          </w:divBdr>
        </w:div>
        <w:div w:id="570893332">
          <w:marLeft w:val="720"/>
          <w:marRight w:val="0"/>
          <w:marTop w:val="0"/>
          <w:marBottom w:val="12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1030586">
      <w:bodyDiv w:val="1"/>
      <w:marLeft w:val="0"/>
      <w:marRight w:val="0"/>
      <w:marTop w:val="0"/>
      <w:marBottom w:val="0"/>
      <w:divBdr>
        <w:top w:val="none" w:sz="0" w:space="0" w:color="auto"/>
        <w:left w:val="none" w:sz="0" w:space="0" w:color="auto"/>
        <w:bottom w:val="none" w:sz="0" w:space="0" w:color="auto"/>
        <w:right w:val="none" w:sz="0" w:space="0" w:color="auto"/>
      </w:divBdr>
      <w:divsChild>
        <w:div w:id="1240213634">
          <w:marLeft w:val="547"/>
          <w:marRight w:val="0"/>
          <w:marTop w:val="0"/>
          <w:marBottom w:val="0"/>
          <w:divBdr>
            <w:top w:val="none" w:sz="0" w:space="0" w:color="auto"/>
            <w:left w:val="none" w:sz="0" w:space="0" w:color="auto"/>
            <w:bottom w:val="none" w:sz="0" w:space="0" w:color="auto"/>
            <w:right w:val="none" w:sz="0" w:space="0" w:color="auto"/>
          </w:divBdr>
        </w:div>
      </w:divsChild>
    </w:div>
    <w:div w:id="427625836">
      <w:bodyDiv w:val="1"/>
      <w:marLeft w:val="0"/>
      <w:marRight w:val="0"/>
      <w:marTop w:val="0"/>
      <w:marBottom w:val="0"/>
      <w:divBdr>
        <w:top w:val="none" w:sz="0" w:space="0" w:color="auto"/>
        <w:left w:val="none" w:sz="0" w:space="0" w:color="auto"/>
        <w:bottom w:val="none" w:sz="0" w:space="0" w:color="auto"/>
        <w:right w:val="none" w:sz="0" w:space="0" w:color="auto"/>
      </w:divBdr>
    </w:div>
    <w:div w:id="428700382">
      <w:bodyDiv w:val="1"/>
      <w:marLeft w:val="0"/>
      <w:marRight w:val="0"/>
      <w:marTop w:val="0"/>
      <w:marBottom w:val="0"/>
      <w:divBdr>
        <w:top w:val="none" w:sz="0" w:space="0" w:color="auto"/>
        <w:left w:val="none" w:sz="0" w:space="0" w:color="auto"/>
        <w:bottom w:val="none" w:sz="0" w:space="0" w:color="auto"/>
        <w:right w:val="none" w:sz="0" w:space="0" w:color="auto"/>
      </w:divBdr>
    </w:div>
    <w:div w:id="429935147">
      <w:bodyDiv w:val="1"/>
      <w:marLeft w:val="0"/>
      <w:marRight w:val="0"/>
      <w:marTop w:val="0"/>
      <w:marBottom w:val="0"/>
      <w:divBdr>
        <w:top w:val="none" w:sz="0" w:space="0" w:color="auto"/>
        <w:left w:val="none" w:sz="0" w:space="0" w:color="auto"/>
        <w:bottom w:val="none" w:sz="0" w:space="0" w:color="auto"/>
        <w:right w:val="none" w:sz="0" w:space="0" w:color="auto"/>
      </w:divBdr>
    </w:div>
    <w:div w:id="474764463">
      <w:bodyDiv w:val="1"/>
      <w:marLeft w:val="0"/>
      <w:marRight w:val="0"/>
      <w:marTop w:val="0"/>
      <w:marBottom w:val="0"/>
      <w:divBdr>
        <w:top w:val="none" w:sz="0" w:space="0" w:color="auto"/>
        <w:left w:val="none" w:sz="0" w:space="0" w:color="auto"/>
        <w:bottom w:val="none" w:sz="0" w:space="0" w:color="auto"/>
        <w:right w:val="none" w:sz="0" w:space="0" w:color="auto"/>
      </w:divBdr>
      <w:divsChild>
        <w:div w:id="1099834678">
          <w:marLeft w:val="0"/>
          <w:marRight w:val="0"/>
          <w:marTop w:val="0"/>
          <w:marBottom w:val="0"/>
          <w:divBdr>
            <w:top w:val="none" w:sz="0" w:space="0" w:color="auto"/>
            <w:left w:val="none" w:sz="0" w:space="0" w:color="auto"/>
            <w:bottom w:val="none" w:sz="0" w:space="0" w:color="auto"/>
            <w:right w:val="none" w:sz="0" w:space="0" w:color="auto"/>
          </w:divBdr>
          <w:divsChild>
            <w:div w:id="1758087615">
              <w:marLeft w:val="0"/>
              <w:marRight w:val="0"/>
              <w:marTop w:val="0"/>
              <w:marBottom w:val="0"/>
              <w:divBdr>
                <w:top w:val="none" w:sz="0" w:space="0" w:color="auto"/>
                <w:left w:val="none" w:sz="0" w:space="0" w:color="auto"/>
                <w:bottom w:val="none" w:sz="0" w:space="0" w:color="auto"/>
                <w:right w:val="none" w:sz="0" w:space="0" w:color="auto"/>
              </w:divBdr>
              <w:divsChild>
                <w:div w:id="1006594972">
                  <w:marLeft w:val="0"/>
                  <w:marRight w:val="0"/>
                  <w:marTop w:val="0"/>
                  <w:marBottom w:val="0"/>
                  <w:divBdr>
                    <w:top w:val="none" w:sz="0" w:space="0" w:color="auto"/>
                    <w:left w:val="none" w:sz="0" w:space="0" w:color="auto"/>
                    <w:bottom w:val="none" w:sz="0" w:space="0" w:color="auto"/>
                    <w:right w:val="none" w:sz="0" w:space="0" w:color="auto"/>
                  </w:divBdr>
                  <w:divsChild>
                    <w:div w:id="1981038885">
                      <w:marLeft w:val="0"/>
                      <w:marRight w:val="0"/>
                      <w:marTop w:val="0"/>
                      <w:marBottom w:val="0"/>
                      <w:divBdr>
                        <w:top w:val="none" w:sz="0" w:space="0" w:color="auto"/>
                        <w:left w:val="none" w:sz="0" w:space="0" w:color="auto"/>
                        <w:bottom w:val="none" w:sz="0" w:space="0" w:color="auto"/>
                        <w:right w:val="none" w:sz="0" w:space="0" w:color="auto"/>
                      </w:divBdr>
                      <w:divsChild>
                        <w:div w:id="1963615155">
                          <w:marLeft w:val="0"/>
                          <w:marRight w:val="0"/>
                          <w:marTop w:val="0"/>
                          <w:marBottom w:val="0"/>
                          <w:divBdr>
                            <w:top w:val="none" w:sz="0" w:space="0" w:color="auto"/>
                            <w:left w:val="none" w:sz="0" w:space="0" w:color="auto"/>
                            <w:bottom w:val="none" w:sz="0" w:space="0" w:color="auto"/>
                            <w:right w:val="none" w:sz="0" w:space="0" w:color="auto"/>
                          </w:divBdr>
                          <w:divsChild>
                            <w:div w:id="104077180">
                              <w:marLeft w:val="0"/>
                              <w:marRight w:val="0"/>
                              <w:marTop w:val="0"/>
                              <w:marBottom w:val="0"/>
                              <w:divBdr>
                                <w:top w:val="none" w:sz="0" w:space="0" w:color="auto"/>
                                <w:left w:val="none" w:sz="0" w:space="0" w:color="auto"/>
                                <w:bottom w:val="none" w:sz="0" w:space="0" w:color="auto"/>
                                <w:right w:val="none" w:sz="0" w:space="0" w:color="auto"/>
                              </w:divBdr>
                              <w:divsChild>
                                <w:div w:id="1041126332">
                                  <w:marLeft w:val="0"/>
                                  <w:marRight w:val="0"/>
                                  <w:marTop w:val="0"/>
                                  <w:marBottom w:val="0"/>
                                  <w:divBdr>
                                    <w:top w:val="none" w:sz="0" w:space="0" w:color="auto"/>
                                    <w:left w:val="none" w:sz="0" w:space="0" w:color="auto"/>
                                    <w:bottom w:val="none" w:sz="0" w:space="0" w:color="auto"/>
                                    <w:right w:val="none" w:sz="0" w:space="0" w:color="auto"/>
                                  </w:divBdr>
                                  <w:divsChild>
                                    <w:div w:id="363792559">
                                      <w:marLeft w:val="0"/>
                                      <w:marRight w:val="0"/>
                                      <w:marTop w:val="0"/>
                                      <w:marBottom w:val="0"/>
                                      <w:divBdr>
                                        <w:top w:val="none" w:sz="0" w:space="0" w:color="auto"/>
                                        <w:left w:val="none" w:sz="0" w:space="0" w:color="auto"/>
                                        <w:bottom w:val="none" w:sz="0" w:space="0" w:color="auto"/>
                                        <w:right w:val="none" w:sz="0" w:space="0" w:color="auto"/>
                                      </w:divBdr>
                                      <w:divsChild>
                                        <w:div w:id="1740054324">
                                          <w:marLeft w:val="0"/>
                                          <w:marRight w:val="0"/>
                                          <w:marTop w:val="0"/>
                                          <w:marBottom w:val="0"/>
                                          <w:divBdr>
                                            <w:top w:val="none" w:sz="0" w:space="0" w:color="auto"/>
                                            <w:left w:val="none" w:sz="0" w:space="0" w:color="auto"/>
                                            <w:bottom w:val="none" w:sz="0" w:space="0" w:color="auto"/>
                                            <w:right w:val="none" w:sz="0" w:space="0" w:color="auto"/>
                                          </w:divBdr>
                                          <w:divsChild>
                                            <w:div w:id="18969571">
                                              <w:marLeft w:val="0"/>
                                              <w:marRight w:val="0"/>
                                              <w:marTop w:val="0"/>
                                              <w:marBottom w:val="0"/>
                                              <w:divBdr>
                                                <w:top w:val="none" w:sz="0" w:space="0" w:color="auto"/>
                                                <w:left w:val="none" w:sz="0" w:space="0" w:color="auto"/>
                                                <w:bottom w:val="none" w:sz="0" w:space="0" w:color="auto"/>
                                                <w:right w:val="none" w:sz="0" w:space="0" w:color="auto"/>
                                              </w:divBdr>
                                              <w:divsChild>
                                                <w:div w:id="530580023">
                                                  <w:marLeft w:val="0"/>
                                                  <w:marRight w:val="0"/>
                                                  <w:marTop w:val="0"/>
                                                  <w:marBottom w:val="0"/>
                                                  <w:divBdr>
                                                    <w:top w:val="none" w:sz="0" w:space="0" w:color="auto"/>
                                                    <w:left w:val="none" w:sz="0" w:space="0" w:color="auto"/>
                                                    <w:bottom w:val="none" w:sz="0" w:space="0" w:color="auto"/>
                                                    <w:right w:val="none" w:sz="0" w:space="0" w:color="auto"/>
                                                  </w:divBdr>
                                                  <w:divsChild>
                                                    <w:div w:id="1409234975">
                                                      <w:marLeft w:val="0"/>
                                                      <w:marRight w:val="0"/>
                                                      <w:marTop w:val="0"/>
                                                      <w:marBottom w:val="0"/>
                                                      <w:divBdr>
                                                        <w:top w:val="single" w:sz="6" w:space="0" w:color="ABABAB"/>
                                                        <w:left w:val="single" w:sz="6" w:space="0" w:color="ABABAB"/>
                                                        <w:bottom w:val="none" w:sz="0" w:space="0" w:color="auto"/>
                                                        <w:right w:val="single" w:sz="6" w:space="0" w:color="ABABAB"/>
                                                      </w:divBdr>
                                                      <w:divsChild>
                                                        <w:div w:id="974792102">
                                                          <w:marLeft w:val="0"/>
                                                          <w:marRight w:val="0"/>
                                                          <w:marTop w:val="0"/>
                                                          <w:marBottom w:val="0"/>
                                                          <w:divBdr>
                                                            <w:top w:val="none" w:sz="0" w:space="0" w:color="auto"/>
                                                            <w:left w:val="none" w:sz="0" w:space="0" w:color="auto"/>
                                                            <w:bottom w:val="none" w:sz="0" w:space="0" w:color="auto"/>
                                                            <w:right w:val="none" w:sz="0" w:space="0" w:color="auto"/>
                                                          </w:divBdr>
                                                          <w:divsChild>
                                                            <w:div w:id="1278441785">
                                                              <w:marLeft w:val="0"/>
                                                              <w:marRight w:val="0"/>
                                                              <w:marTop w:val="0"/>
                                                              <w:marBottom w:val="0"/>
                                                              <w:divBdr>
                                                                <w:top w:val="none" w:sz="0" w:space="0" w:color="auto"/>
                                                                <w:left w:val="none" w:sz="0" w:space="0" w:color="auto"/>
                                                                <w:bottom w:val="none" w:sz="0" w:space="0" w:color="auto"/>
                                                                <w:right w:val="none" w:sz="0" w:space="0" w:color="auto"/>
                                                              </w:divBdr>
                                                              <w:divsChild>
                                                                <w:div w:id="298993901">
                                                                  <w:marLeft w:val="0"/>
                                                                  <w:marRight w:val="0"/>
                                                                  <w:marTop w:val="0"/>
                                                                  <w:marBottom w:val="0"/>
                                                                  <w:divBdr>
                                                                    <w:top w:val="none" w:sz="0" w:space="0" w:color="auto"/>
                                                                    <w:left w:val="none" w:sz="0" w:space="0" w:color="auto"/>
                                                                    <w:bottom w:val="none" w:sz="0" w:space="0" w:color="auto"/>
                                                                    <w:right w:val="none" w:sz="0" w:space="0" w:color="auto"/>
                                                                  </w:divBdr>
                                                                  <w:divsChild>
                                                                    <w:div w:id="1800341598">
                                                                      <w:marLeft w:val="0"/>
                                                                      <w:marRight w:val="0"/>
                                                                      <w:marTop w:val="0"/>
                                                                      <w:marBottom w:val="0"/>
                                                                      <w:divBdr>
                                                                        <w:top w:val="none" w:sz="0" w:space="0" w:color="auto"/>
                                                                        <w:left w:val="none" w:sz="0" w:space="0" w:color="auto"/>
                                                                        <w:bottom w:val="none" w:sz="0" w:space="0" w:color="auto"/>
                                                                        <w:right w:val="none" w:sz="0" w:space="0" w:color="auto"/>
                                                                      </w:divBdr>
                                                                      <w:divsChild>
                                                                        <w:div w:id="8877464">
                                                                          <w:marLeft w:val="0"/>
                                                                          <w:marRight w:val="0"/>
                                                                          <w:marTop w:val="0"/>
                                                                          <w:marBottom w:val="0"/>
                                                                          <w:divBdr>
                                                                            <w:top w:val="none" w:sz="0" w:space="0" w:color="auto"/>
                                                                            <w:left w:val="none" w:sz="0" w:space="0" w:color="auto"/>
                                                                            <w:bottom w:val="none" w:sz="0" w:space="0" w:color="auto"/>
                                                                            <w:right w:val="none" w:sz="0" w:space="0" w:color="auto"/>
                                                                          </w:divBdr>
                                                                          <w:divsChild>
                                                                            <w:div w:id="1169638615">
                                                                              <w:marLeft w:val="0"/>
                                                                              <w:marRight w:val="0"/>
                                                                              <w:marTop w:val="0"/>
                                                                              <w:marBottom w:val="0"/>
                                                                              <w:divBdr>
                                                                                <w:top w:val="none" w:sz="0" w:space="0" w:color="auto"/>
                                                                                <w:left w:val="none" w:sz="0" w:space="0" w:color="auto"/>
                                                                                <w:bottom w:val="none" w:sz="0" w:space="0" w:color="auto"/>
                                                                                <w:right w:val="none" w:sz="0" w:space="0" w:color="auto"/>
                                                                              </w:divBdr>
                                                                              <w:divsChild>
                                                                                <w:div w:id="1021711742">
                                                                                  <w:marLeft w:val="0"/>
                                                                                  <w:marRight w:val="0"/>
                                                                                  <w:marTop w:val="0"/>
                                                                                  <w:marBottom w:val="0"/>
                                                                                  <w:divBdr>
                                                                                    <w:top w:val="none" w:sz="0" w:space="0" w:color="auto"/>
                                                                                    <w:left w:val="none" w:sz="0" w:space="0" w:color="auto"/>
                                                                                    <w:bottom w:val="none" w:sz="0" w:space="0" w:color="auto"/>
                                                                                    <w:right w:val="none" w:sz="0" w:space="0" w:color="auto"/>
                                                                                  </w:divBdr>
                                                                                </w:div>
                                                                                <w:div w:id="315573022">
                                                                                  <w:marLeft w:val="0"/>
                                                                                  <w:marRight w:val="0"/>
                                                                                  <w:marTop w:val="0"/>
                                                                                  <w:marBottom w:val="0"/>
                                                                                  <w:divBdr>
                                                                                    <w:top w:val="none" w:sz="0" w:space="0" w:color="auto"/>
                                                                                    <w:left w:val="none" w:sz="0" w:space="0" w:color="auto"/>
                                                                                    <w:bottom w:val="none" w:sz="0" w:space="0" w:color="auto"/>
                                                                                    <w:right w:val="none" w:sz="0" w:space="0" w:color="auto"/>
                                                                                  </w:divBdr>
                                                                                </w:div>
                                                                                <w:div w:id="1847208076">
                                                                                  <w:marLeft w:val="0"/>
                                                                                  <w:marRight w:val="0"/>
                                                                                  <w:marTop w:val="0"/>
                                                                                  <w:marBottom w:val="0"/>
                                                                                  <w:divBdr>
                                                                                    <w:top w:val="none" w:sz="0" w:space="0" w:color="auto"/>
                                                                                    <w:left w:val="none" w:sz="0" w:space="0" w:color="auto"/>
                                                                                    <w:bottom w:val="none" w:sz="0" w:space="0" w:color="auto"/>
                                                                                    <w:right w:val="none" w:sz="0" w:space="0" w:color="auto"/>
                                                                                  </w:divBdr>
                                                                                </w:div>
                                                                                <w:div w:id="171453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79227028">
      <w:bodyDiv w:val="1"/>
      <w:marLeft w:val="0"/>
      <w:marRight w:val="0"/>
      <w:marTop w:val="0"/>
      <w:marBottom w:val="0"/>
      <w:divBdr>
        <w:top w:val="none" w:sz="0" w:space="0" w:color="auto"/>
        <w:left w:val="none" w:sz="0" w:space="0" w:color="auto"/>
        <w:bottom w:val="none" w:sz="0" w:space="0" w:color="auto"/>
        <w:right w:val="none" w:sz="0" w:space="0" w:color="auto"/>
      </w:divBdr>
      <w:divsChild>
        <w:div w:id="1317033607">
          <w:marLeft w:val="0"/>
          <w:marRight w:val="0"/>
          <w:marTop w:val="0"/>
          <w:marBottom w:val="0"/>
          <w:divBdr>
            <w:top w:val="none" w:sz="0" w:space="0" w:color="auto"/>
            <w:left w:val="none" w:sz="0" w:space="0" w:color="auto"/>
            <w:bottom w:val="none" w:sz="0" w:space="0" w:color="auto"/>
            <w:right w:val="none" w:sz="0" w:space="0" w:color="auto"/>
          </w:divBdr>
          <w:divsChild>
            <w:div w:id="1730883082">
              <w:marLeft w:val="0"/>
              <w:marRight w:val="0"/>
              <w:marTop w:val="0"/>
              <w:marBottom w:val="0"/>
              <w:divBdr>
                <w:top w:val="none" w:sz="0" w:space="0" w:color="auto"/>
                <w:left w:val="none" w:sz="0" w:space="0" w:color="auto"/>
                <w:bottom w:val="none" w:sz="0" w:space="0" w:color="auto"/>
                <w:right w:val="none" w:sz="0" w:space="0" w:color="auto"/>
              </w:divBdr>
              <w:divsChild>
                <w:div w:id="1872911933">
                  <w:marLeft w:val="0"/>
                  <w:marRight w:val="0"/>
                  <w:marTop w:val="0"/>
                  <w:marBottom w:val="0"/>
                  <w:divBdr>
                    <w:top w:val="none" w:sz="0" w:space="0" w:color="auto"/>
                    <w:left w:val="none" w:sz="0" w:space="0" w:color="auto"/>
                    <w:bottom w:val="none" w:sz="0" w:space="0" w:color="auto"/>
                    <w:right w:val="none" w:sz="0" w:space="0" w:color="auto"/>
                  </w:divBdr>
                  <w:divsChild>
                    <w:div w:id="838928838">
                      <w:marLeft w:val="0"/>
                      <w:marRight w:val="0"/>
                      <w:marTop w:val="0"/>
                      <w:marBottom w:val="0"/>
                      <w:divBdr>
                        <w:top w:val="none" w:sz="0" w:space="0" w:color="auto"/>
                        <w:left w:val="none" w:sz="0" w:space="0" w:color="auto"/>
                        <w:bottom w:val="none" w:sz="0" w:space="0" w:color="auto"/>
                        <w:right w:val="none" w:sz="0" w:space="0" w:color="auto"/>
                      </w:divBdr>
                      <w:divsChild>
                        <w:div w:id="2042969731">
                          <w:marLeft w:val="0"/>
                          <w:marRight w:val="0"/>
                          <w:marTop w:val="0"/>
                          <w:marBottom w:val="0"/>
                          <w:divBdr>
                            <w:top w:val="none" w:sz="0" w:space="0" w:color="auto"/>
                            <w:left w:val="none" w:sz="0" w:space="0" w:color="auto"/>
                            <w:bottom w:val="none" w:sz="0" w:space="0" w:color="auto"/>
                            <w:right w:val="none" w:sz="0" w:space="0" w:color="auto"/>
                          </w:divBdr>
                          <w:divsChild>
                            <w:div w:id="1684018464">
                              <w:marLeft w:val="0"/>
                              <w:marRight w:val="0"/>
                              <w:marTop w:val="0"/>
                              <w:marBottom w:val="0"/>
                              <w:divBdr>
                                <w:top w:val="none" w:sz="0" w:space="0" w:color="auto"/>
                                <w:left w:val="none" w:sz="0" w:space="0" w:color="auto"/>
                                <w:bottom w:val="none" w:sz="0" w:space="0" w:color="auto"/>
                                <w:right w:val="none" w:sz="0" w:space="0" w:color="auto"/>
                              </w:divBdr>
                              <w:divsChild>
                                <w:div w:id="2114587748">
                                  <w:marLeft w:val="0"/>
                                  <w:marRight w:val="0"/>
                                  <w:marTop w:val="0"/>
                                  <w:marBottom w:val="0"/>
                                  <w:divBdr>
                                    <w:top w:val="none" w:sz="0" w:space="0" w:color="auto"/>
                                    <w:left w:val="none" w:sz="0" w:space="0" w:color="auto"/>
                                    <w:bottom w:val="none" w:sz="0" w:space="0" w:color="auto"/>
                                    <w:right w:val="none" w:sz="0" w:space="0" w:color="auto"/>
                                  </w:divBdr>
                                  <w:divsChild>
                                    <w:div w:id="960112236">
                                      <w:marLeft w:val="0"/>
                                      <w:marRight w:val="0"/>
                                      <w:marTop w:val="0"/>
                                      <w:marBottom w:val="0"/>
                                      <w:divBdr>
                                        <w:top w:val="none" w:sz="0" w:space="0" w:color="auto"/>
                                        <w:left w:val="none" w:sz="0" w:space="0" w:color="auto"/>
                                        <w:bottom w:val="none" w:sz="0" w:space="0" w:color="auto"/>
                                        <w:right w:val="none" w:sz="0" w:space="0" w:color="auto"/>
                                      </w:divBdr>
                                      <w:divsChild>
                                        <w:div w:id="649554539">
                                          <w:marLeft w:val="0"/>
                                          <w:marRight w:val="0"/>
                                          <w:marTop w:val="0"/>
                                          <w:marBottom w:val="0"/>
                                          <w:divBdr>
                                            <w:top w:val="none" w:sz="0" w:space="0" w:color="auto"/>
                                            <w:left w:val="none" w:sz="0" w:space="0" w:color="auto"/>
                                            <w:bottom w:val="none" w:sz="0" w:space="0" w:color="auto"/>
                                            <w:right w:val="none" w:sz="0" w:space="0" w:color="auto"/>
                                          </w:divBdr>
                                          <w:divsChild>
                                            <w:div w:id="2080134895">
                                              <w:marLeft w:val="0"/>
                                              <w:marRight w:val="0"/>
                                              <w:marTop w:val="0"/>
                                              <w:marBottom w:val="0"/>
                                              <w:divBdr>
                                                <w:top w:val="none" w:sz="0" w:space="0" w:color="auto"/>
                                                <w:left w:val="none" w:sz="0" w:space="0" w:color="auto"/>
                                                <w:bottom w:val="none" w:sz="0" w:space="0" w:color="auto"/>
                                                <w:right w:val="none" w:sz="0" w:space="0" w:color="auto"/>
                                              </w:divBdr>
                                              <w:divsChild>
                                                <w:div w:id="200167816">
                                                  <w:marLeft w:val="0"/>
                                                  <w:marRight w:val="0"/>
                                                  <w:marTop w:val="0"/>
                                                  <w:marBottom w:val="0"/>
                                                  <w:divBdr>
                                                    <w:top w:val="none" w:sz="0" w:space="0" w:color="auto"/>
                                                    <w:left w:val="none" w:sz="0" w:space="0" w:color="auto"/>
                                                    <w:bottom w:val="none" w:sz="0" w:space="0" w:color="auto"/>
                                                    <w:right w:val="none" w:sz="0" w:space="0" w:color="auto"/>
                                                  </w:divBdr>
                                                  <w:divsChild>
                                                    <w:div w:id="1024020663">
                                                      <w:marLeft w:val="0"/>
                                                      <w:marRight w:val="0"/>
                                                      <w:marTop w:val="0"/>
                                                      <w:marBottom w:val="0"/>
                                                      <w:divBdr>
                                                        <w:top w:val="single" w:sz="6" w:space="0" w:color="ABABAB"/>
                                                        <w:left w:val="single" w:sz="6" w:space="0" w:color="ABABAB"/>
                                                        <w:bottom w:val="none" w:sz="0" w:space="0" w:color="auto"/>
                                                        <w:right w:val="single" w:sz="6" w:space="0" w:color="ABABAB"/>
                                                      </w:divBdr>
                                                      <w:divsChild>
                                                        <w:div w:id="293944849">
                                                          <w:marLeft w:val="0"/>
                                                          <w:marRight w:val="0"/>
                                                          <w:marTop w:val="0"/>
                                                          <w:marBottom w:val="0"/>
                                                          <w:divBdr>
                                                            <w:top w:val="none" w:sz="0" w:space="0" w:color="auto"/>
                                                            <w:left w:val="none" w:sz="0" w:space="0" w:color="auto"/>
                                                            <w:bottom w:val="none" w:sz="0" w:space="0" w:color="auto"/>
                                                            <w:right w:val="none" w:sz="0" w:space="0" w:color="auto"/>
                                                          </w:divBdr>
                                                          <w:divsChild>
                                                            <w:div w:id="299455821">
                                                              <w:marLeft w:val="0"/>
                                                              <w:marRight w:val="0"/>
                                                              <w:marTop w:val="0"/>
                                                              <w:marBottom w:val="0"/>
                                                              <w:divBdr>
                                                                <w:top w:val="none" w:sz="0" w:space="0" w:color="auto"/>
                                                                <w:left w:val="none" w:sz="0" w:space="0" w:color="auto"/>
                                                                <w:bottom w:val="none" w:sz="0" w:space="0" w:color="auto"/>
                                                                <w:right w:val="none" w:sz="0" w:space="0" w:color="auto"/>
                                                              </w:divBdr>
                                                              <w:divsChild>
                                                                <w:div w:id="1501234894">
                                                                  <w:marLeft w:val="0"/>
                                                                  <w:marRight w:val="0"/>
                                                                  <w:marTop w:val="0"/>
                                                                  <w:marBottom w:val="0"/>
                                                                  <w:divBdr>
                                                                    <w:top w:val="none" w:sz="0" w:space="0" w:color="auto"/>
                                                                    <w:left w:val="none" w:sz="0" w:space="0" w:color="auto"/>
                                                                    <w:bottom w:val="none" w:sz="0" w:space="0" w:color="auto"/>
                                                                    <w:right w:val="none" w:sz="0" w:space="0" w:color="auto"/>
                                                                  </w:divBdr>
                                                                  <w:divsChild>
                                                                    <w:div w:id="1468819989">
                                                                      <w:marLeft w:val="0"/>
                                                                      <w:marRight w:val="0"/>
                                                                      <w:marTop w:val="0"/>
                                                                      <w:marBottom w:val="0"/>
                                                                      <w:divBdr>
                                                                        <w:top w:val="none" w:sz="0" w:space="0" w:color="auto"/>
                                                                        <w:left w:val="none" w:sz="0" w:space="0" w:color="auto"/>
                                                                        <w:bottom w:val="none" w:sz="0" w:space="0" w:color="auto"/>
                                                                        <w:right w:val="none" w:sz="0" w:space="0" w:color="auto"/>
                                                                      </w:divBdr>
                                                                      <w:divsChild>
                                                                        <w:div w:id="1988628857">
                                                                          <w:marLeft w:val="0"/>
                                                                          <w:marRight w:val="0"/>
                                                                          <w:marTop w:val="0"/>
                                                                          <w:marBottom w:val="0"/>
                                                                          <w:divBdr>
                                                                            <w:top w:val="none" w:sz="0" w:space="0" w:color="auto"/>
                                                                            <w:left w:val="none" w:sz="0" w:space="0" w:color="auto"/>
                                                                            <w:bottom w:val="none" w:sz="0" w:space="0" w:color="auto"/>
                                                                            <w:right w:val="none" w:sz="0" w:space="0" w:color="auto"/>
                                                                          </w:divBdr>
                                                                          <w:divsChild>
                                                                            <w:div w:id="885916245">
                                                                              <w:marLeft w:val="0"/>
                                                                              <w:marRight w:val="0"/>
                                                                              <w:marTop w:val="0"/>
                                                                              <w:marBottom w:val="0"/>
                                                                              <w:divBdr>
                                                                                <w:top w:val="none" w:sz="0" w:space="0" w:color="auto"/>
                                                                                <w:left w:val="none" w:sz="0" w:space="0" w:color="auto"/>
                                                                                <w:bottom w:val="none" w:sz="0" w:space="0" w:color="auto"/>
                                                                                <w:right w:val="none" w:sz="0" w:space="0" w:color="auto"/>
                                                                              </w:divBdr>
                                                                              <w:divsChild>
                                                                                <w:div w:id="1842621714">
                                                                                  <w:marLeft w:val="0"/>
                                                                                  <w:marRight w:val="0"/>
                                                                                  <w:marTop w:val="0"/>
                                                                                  <w:marBottom w:val="0"/>
                                                                                  <w:divBdr>
                                                                                    <w:top w:val="none" w:sz="0" w:space="0" w:color="auto"/>
                                                                                    <w:left w:val="none" w:sz="0" w:space="0" w:color="auto"/>
                                                                                    <w:bottom w:val="none" w:sz="0" w:space="0" w:color="auto"/>
                                                                                    <w:right w:val="none" w:sz="0" w:space="0" w:color="auto"/>
                                                                                  </w:divBdr>
                                                                                </w:div>
                                                                                <w:div w:id="632560784">
                                                                                  <w:marLeft w:val="0"/>
                                                                                  <w:marRight w:val="0"/>
                                                                                  <w:marTop w:val="0"/>
                                                                                  <w:marBottom w:val="0"/>
                                                                                  <w:divBdr>
                                                                                    <w:top w:val="none" w:sz="0" w:space="0" w:color="auto"/>
                                                                                    <w:left w:val="none" w:sz="0" w:space="0" w:color="auto"/>
                                                                                    <w:bottom w:val="none" w:sz="0" w:space="0" w:color="auto"/>
                                                                                    <w:right w:val="none" w:sz="0" w:space="0" w:color="auto"/>
                                                                                  </w:divBdr>
                                                                                </w:div>
                                                                                <w:div w:id="1129667365">
                                                                                  <w:marLeft w:val="0"/>
                                                                                  <w:marRight w:val="0"/>
                                                                                  <w:marTop w:val="0"/>
                                                                                  <w:marBottom w:val="0"/>
                                                                                  <w:divBdr>
                                                                                    <w:top w:val="none" w:sz="0" w:space="0" w:color="auto"/>
                                                                                    <w:left w:val="none" w:sz="0" w:space="0" w:color="auto"/>
                                                                                    <w:bottom w:val="none" w:sz="0" w:space="0" w:color="auto"/>
                                                                                    <w:right w:val="none" w:sz="0" w:space="0" w:color="auto"/>
                                                                                  </w:divBdr>
                                                                                </w:div>
                                                                                <w:div w:id="1345788102">
                                                                                  <w:marLeft w:val="0"/>
                                                                                  <w:marRight w:val="0"/>
                                                                                  <w:marTop w:val="0"/>
                                                                                  <w:marBottom w:val="0"/>
                                                                                  <w:divBdr>
                                                                                    <w:top w:val="none" w:sz="0" w:space="0" w:color="auto"/>
                                                                                    <w:left w:val="none" w:sz="0" w:space="0" w:color="auto"/>
                                                                                    <w:bottom w:val="none" w:sz="0" w:space="0" w:color="auto"/>
                                                                                    <w:right w:val="none" w:sz="0" w:space="0" w:color="auto"/>
                                                                                  </w:divBdr>
                                                                                </w:div>
                                                                                <w:div w:id="1764110191">
                                                                                  <w:marLeft w:val="0"/>
                                                                                  <w:marRight w:val="0"/>
                                                                                  <w:marTop w:val="0"/>
                                                                                  <w:marBottom w:val="0"/>
                                                                                  <w:divBdr>
                                                                                    <w:top w:val="none" w:sz="0" w:space="0" w:color="auto"/>
                                                                                    <w:left w:val="none" w:sz="0" w:space="0" w:color="auto"/>
                                                                                    <w:bottom w:val="none" w:sz="0" w:space="0" w:color="auto"/>
                                                                                    <w:right w:val="none" w:sz="0" w:space="0" w:color="auto"/>
                                                                                  </w:divBdr>
                                                                                </w:div>
                                                                                <w:div w:id="1142624888">
                                                                                  <w:marLeft w:val="0"/>
                                                                                  <w:marRight w:val="0"/>
                                                                                  <w:marTop w:val="0"/>
                                                                                  <w:marBottom w:val="0"/>
                                                                                  <w:divBdr>
                                                                                    <w:top w:val="none" w:sz="0" w:space="0" w:color="auto"/>
                                                                                    <w:left w:val="none" w:sz="0" w:space="0" w:color="auto"/>
                                                                                    <w:bottom w:val="none" w:sz="0" w:space="0" w:color="auto"/>
                                                                                    <w:right w:val="none" w:sz="0" w:space="0" w:color="auto"/>
                                                                                  </w:divBdr>
                                                                                </w:div>
                                                                                <w:div w:id="201601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249806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94159410">
      <w:bodyDiv w:val="1"/>
      <w:marLeft w:val="0"/>
      <w:marRight w:val="0"/>
      <w:marTop w:val="0"/>
      <w:marBottom w:val="0"/>
      <w:divBdr>
        <w:top w:val="none" w:sz="0" w:space="0" w:color="auto"/>
        <w:left w:val="none" w:sz="0" w:space="0" w:color="auto"/>
        <w:bottom w:val="none" w:sz="0" w:space="0" w:color="auto"/>
        <w:right w:val="none" w:sz="0" w:space="0" w:color="auto"/>
      </w:divBdr>
    </w:div>
    <w:div w:id="737753552">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2866901">
      <w:bodyDiv w:val="1"/>
      <w:marLeft w:val="0"/>
      <w:marRight w:val="0"/>
      <w:marTop w:val="0"/>
      <w:marBottom w:val="0"/>
      <w:divBdr>
        <w:top w:val="none" w:sz="0" w:space="0" w:color="auto"/>
        <w:left w:val="none" w:sz="0" w:space="0" w:color="auto"/>
        <w:bottom w:val="none" w:sz="0" w:space="0" w:color="auto"/>
        <w:right w:val="none" w:sz="0" w:space="0" w:color="auto"/>
      </w:divBdr>
    </w:div>
    <w:div w:id="814375465">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0650917">
      <w:bodyDiv w:val="1"/>
      <w:marLeft w:val="0"/>
      <w:marRight w:val="0"/>
      <w:marTop w:val="0"/>
      <w:marBottom w:val="0"/>
      <w:divBdr>
        <w:top w:val="none" w:sz="0" w:space="0" w:color="auto"/>
        <w:left w:val="none" w:sz="0" w:space="0" w:color="auto"/>
        <w:bottom w:val="none" w:sz="0" w:space="0" w:color="auto"/>
        <w:right w:val="none" w:sz="0" w:space="0" w:color="auto"/>
      </w:divBdr>
      <w:divsChild>
        <w:div w:id="1850363949">
          <w:marLeft w:val="360"/>
          <w:marRight w:val="0"/>
          <w:marTop w:val="0"/>
          <w:marBottom w:val="120"/>
          <w:divBdr>
            <w:top w:val="none" w:sz="0" w:space="0" w:color="auto"/>
            <w:left w:val="none" w:sz="0" w:space="0" w:color="auto"/>
            <w:bottom w:val="none" w:sz="0" w:space="0" w:color="auto"/>
            <w:right w:val="none" w:sz="0" w:space="0" w:color="auto"/>
          </w:divBdr>
        </w:div>
        <w:div w:id="1282883152">
          <w:marLeft w:val="720"/>
          <w:marRight w:val="0"/>
          <w:marTop w:val="0"/>
          <w:marBottom w:val="120"/>
          <w:divBdr>
            <w:top w:val="none" w:sz="0" w:space="0" w:color="auto"/>
            <w:left w:val="none" w:sz="0" w:space="0" w:color="auto"/>
            <w:bottom w:val="none" w:sz="0" w:space="0" w:color="auto"/>
            <w:right w:val="none" w:sz="0" w:space="0" w:color="auto"/>
          </w:divBdr>
        </w:div>
        <w:div w:id="1095437871">
          <w:marLeft w:val="720"/>
          <w:marRight w:val="0"/>
          <w:marTop w:val="0"/>
          <w:marBottom w:val="120"/>
          <w:divBdr>
            <w:top w:val="none" w:sz="0" w:space="0" w:color="auto"/>
            <w:left w:val="none" w:sz="0" w:space="0" w:color="auto"/>
            <w:bottom w:val="none" w:sz="0" w:space="0" w:color="auto"/>
            <w:right w:val="none" w:sz="0" w:space="0" w:color="auto"/>
          </w:divBdr>
        </w:div>
        <w:div w:id="1246451603">
          <w:marLeft w:val="720"/>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1111112">
      <w:bodyDiv w:val="1"/>
      <w:marLeft w:val="0"/>
      <w:marRight w:val="0"/>
      <w:marTop w:val="0"/>
      <w:marBottom w:val="0"/>
      <w:divBdr>
        <w:top w:val="none" w:sz="0" w:space="0" w:color="auto"/>
        <w:left w:val="none" w:sz="0" w:space="0" w:color="auto"/>
        <w:bottom w:val="none" w:sz="0" w:space="0" w:color="auto"/>
        <w:right w:val="none" w:sz="0" w:space="0" w:color="auto"/>
      </w:divBdr>
      <w:divsChild>
        <w:div w:id="1097946533">
          <w:marLeft w:val="274"/>
          <w:marRight w:val="0"/>
          <w:marTop w:val="0"/>
          <w:marBottom w:val="120"/>
          <w:divBdr>
            <w:top w:val="none" w:sz="0" w:space="0" w:color="auto"/>
            <w:left w:val="none" w:sz="0" w:space="0" w:color="auto"/>
            <w:bottom w:val="none" w:sz="0" w:space="0" w:color="auto"/>
            <w:right w:val="none" w:sz="0" w:space="0" w:color="auto"/>
          </w:divBdr>
        </w:div>
      </w:divsChild>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056265">
      <w:bodyDiv w:val="1"/>
      <w:marLeft w:val="0"/>
      <w:marRight w:val="0"/>
      <w:marTop w:val="0"/>
      <w:marBottom w:val="0"/>
      <w:divBdr>
        <w:top w:val="none" w:sz="0" w:space="0" w:color="auto"/>
        <w:left w:val="none" w:sz="0" w:space="0" w:color="auto"/>
        <w:bottom w:val="none" w:sz="0" w:space="0" w:color="auto"/>
        <w:right w:val="none" w:sz="0" w:space="0" w:color="auto"/>
      </w:divBdr>
    </w:div>
    <w:div w:id="1141003571">
      <w:bodyDiv w:val="1"/>
      <w:marLeft w:val="0"/>
      <w:marRight w:val="0"/>
      <w:marTop w:val="0"/>
      <w:marBottom w:val="0"/>
      <w:divBdr>
        <w:top w:val="none" w:sz="0" w:space="0" w:color="auto"/>
        <w:left w:val="none" w:sz="0" w:space="0" w:color="auto"/>
        <w:bottom w:val="none" w:sz="0" w:space="0" w:color="auto"/>
        <w:right w:val="none" w:sz="0" w:space="0" w:color="auto"/>
      </w:divBdr>
      <w:divsChild>
        <w:div w:id="214898101">
          <w:marLeft w:val="274"/>
          <w:marRight w:val="0"/>
          <w:marTop w:val="0"/>
          <w:marBottom w:val="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07555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57581220">
      <w:bodyDiv w:val="1"/>
      <w:marLeft w:val="0"/>
      <w:marRight w:val="0"/>
      <w:marTop w:val="0"/>
      <w:marBottom w:val="0"/>
      <w:divBdr>
        <w:top w:val="none" w:sz="0" w:space="0" w:color="auto"/>
        <w:left w:val="none" w:sz="0" w:space="0" w:color="auto"/>
        <w:bottom w:val="none" w:sz="0" w:space="0" w:color="auto"/>
        <w:right w:val="none" w:sz="0" w:space="0" w:color="auto"/>
      </w:divBdr>
      <w:divsChild>
        <w:div w:id="1151023884">
          <w:marLeft w:val="0"/>
          <w:marRight w:val="0"/>
          <w:marTop w:val="0"/>
          <w:marBottom w:val="0"/>
          <w:divBdr>
            <w:top w:val="none" w:sz="0" w:space="0" w:color="auto"/>
            <w:left w:val="none" w:sz="0" w:space="0" w:color="auto"/>
            <w:bottom w:val="none" w:sz="0" w:space="0" w:color="auto"/>
            <w:right w:val="none" w:sz="0" w:space="0" w:color="auto"/>
          </w:divBdr>
          <w:divsChild>
            <w:div w:id="977879807">
              <w:marLeft w:val="0"/>
              <w:marRight w:val="0"/>
              <w:marTop w:val="0"/>
              <w:marBottom w:val="0"/>
              <w:divBdr>
                <w:top w:val="none" w:sz="0" w:space="0" w:color="auto"/>
                <w:left w:val="none" w:sz="0" w:space="0" w:color="auto"/>
                <w:bottom w:val="none" w:sz="0" w:space="0" w:color="auto"/>
                <w:right w:val="none" w:sz="0" w:space="0" w:color="auto"/>
              </w:divBdr>
              <w:divsChild>
                <w:div w:id="1995795051">
                  <w:marLeft w:val="0"/>
                  <w:marRight w:val="0"/>
                  <w:marTop w:val="0"/>
                  <w:marBottom w:val="0"/>
                  <w:divBdr>
                    <w:top w:val="none" w:sz="0" w:space="0" w:color="auto"/>
                    <w:left w:val="none" w:sz="0" w:space="0" w:color="auto"/>
                    <w:bottom w:val="none" w:sz="0" w:space="0" w:color="auto"/>
                    <w:right w:val="none" w:sz="0" w:space="0" w:color="auto"/>
                  </w:divBdr>
                  <w:divsChild>
                    <w:div w:id="400517197">
                      <w:marLeft w:val="0"/>
                      <w:marRight w:val="0"/>
                      <w:marTop w:val="0"/>
                      <w:marBottom w:val="0"/>
                      <w:divBdr>
                        <w:top w:val="none" w:sz="0" w:space="0" w:color="auto"/>
                        <w:left w:val="none" w:sz="0" w:space="0" w:color="auto"/>
                        <w:bottom w:val="none" w:sz="0" w:space="0" w:color="auto"/>
                        <w:right w:val="none" w:sz="0" w:space="0" w:color="auto"/>
                      </w:divBdr>
                      <w:divsChild>
                        <w:div w:id="597712169">
                          <w:marLeft w:val="0"/>
                          <w:marRight w:val="0"/>
                          <w:marTop w:val="0"/>
                          <w:marBottom w:val="0"/>
                          <w:divBdr>
                            <w:top w:val="none" w:sz="0" w:space="0" w:color="auto"/>
                            <w:left w:val="none" w:sz="0" w:space="0" w:color="auto"/>
                            <w:bottom w:val="none" w:sz="0" w:space="0" w:color="auto"/>
                            <w:right w:val="none" w:sz="0" w:space="0" w:color="auto"/>
                          </w:divBdr>
                          <w:divsChild>
                            <w:div w:id="2145541684">
                              <w:marLeft w:val="0"/>
                              <w:marRight w:val="0"/>
                              <w:marTop w:val="0"/>
                              <w:marBottom w:val="0"/>
                              <w:divBdr>
                                <w:top w:val="none" w:sz="0" w:space="0" w:color="auto"/>
                                <w:left w:val="none" w:sz="0" w:space="0" w:color="auto"/>
                                <w:bottom w:val="none" w:sz="0" w:space="0" w:color="auto"/>
                                <w:right w:val="none" w:sz="0" w:space="0" w:color="auto"/>
                              </w:divBdr>
                              <w:divsChild>
                                <w:div w:id="518930580">
                                  <w:marLeft w:val="0"/>
                                  <w:marRight w:val="0"/>
                                  <w:marTop w:val="0"/>
                                  <w:marBottom w:val="0"/>
                                  <w:divBdr>
                                    <w:top w:val="none" w:sz="0" w:space="0" w:color="auto"/>
                                    <w:left w:val="none" w:sz="0" w:space="0" w:color="auto"/>
                                    <w:bottom w:val="none" w:sz="0" w:space="0" w:color="auto"/>
                                    <w:right w:val="none" w:sz="0" w:space="0" w:color="auto"/>
                                  </w:divBdr>
                                  <w:divsChild>
                                    <w:div w:id="197935646">
                                      <w:marLeft w:val="0"/>
                                      <w:marRight w:val="0"/>
                                      <w:marTop w:val="0"/>
                                      <w:marBottom w:val="0"/>
                                      <w:divBdr>
                                        <w:top w:val="none" w:sz="0" w:space="0" w:color="auto"/>
                                        <w:left w:val="none" w:sz="0" w:space="0" w:color="auto"/>
                                        <w:bottom w:val="none" w:sz="0" w:space="0" w:color="auto"/>
                                        <w:right w:val="none" w:sz="0" w:space="0" w:color="auto"/>
                                      </w:divBdr>
                                      <w:divsChild>
                                        <w:div w:id="934675506">
                                          <w:marLeft w:val="0"/>
                                          <w:marRight w:val="0"/>
                                          <w:marTop w:val="0"/>
                                          <w:marBottom w:val="0"/>
                                          <w:divBdr>
                                            <w:top w:val="none" w:sz="0" w:space="0" w:color="auto"/>
                                            <w:left w:val="none" w:sz="0" w:space="0" w:color="auto"/>
                                            <w:bottom w:val="none" w:sz="0" w:space="0" w:color="auto"/>
                                            <w:right w:val="none" w:sz="0" w:space="0" w:color="auto"/>
                                          </w:divBdr>
                                          <w:divsChild>
                                            <w:div w:id="1218511153">
                                              <w:marLeft w:val="0"/>
                                              <w:marRight w:val="0"/>
                                              <w:marTop w:val="0"/>
                                              <w:marBottom w:val="0"/>
                                              <w:divBdr>
                                                <w:top w:val="none" w:sz="0" w:space="0" w:color="auto"/>
                                                <w:left w:val="none" w:sz="0" w:space="0" w:color="auto"/>
                                                <w:bottom w:val="none" w:sz="0" w:space="0" w:color="auto"/>
                                                <w:right w:val="none" w:sz="0" w:space="0" w:color="auto"/>
                                              </w:divBdr>
                                              <w:divsChild>
                                                <w:div w:id="160511532">
                                                  <w:marLeft w:val="0"/>
                                                  <w:marRight w:val="0"/>
                                                  <w:marTop w:val="0"/>
                                                  <w:marBottom w:val="0"/>
                                                  <w:divBdr>
                                                    <w:top w:val="none" w:sz="0" w:space="0" w:color="auto"/>
                                                    <w:left w:val="none" w:sz="0" w:space="0" w:color="auto"/>
                                                    <w:bottom w:val="none" w:sz="0" w:space="0" w:color="auto"/>
                                                    <w:right w:val="none" w:sz="0" w:space="0" w:color="auto"/>
                                                  </w:divBdr>
                                                  <w:divsChild>
                                                    <w:div w:id="323360863">
                                                      <w:marLeft w:val="0"/>
                                                      <w:marRight w:val="0"/>
                                                      <w:marTop w:val="0"/>
                                                      <w:marBottom w:val="0"/>
                                                      <w:divBdr>
                                                        <w:top w:val="single" w:sz="6" w:space="0" w:color="ABABAB"/>
                                                        <w:left w:val="single" w:sz="6" w:space="0" w:color="ABABAB"/>
                                                        <w:bottom w:val="none" w:sz="0" w:space="0" w:color="auto"/>
                                                        <w:right w:val="single" w:sz="6" w:space="0" w:color="ABABAB"/>
                                                      </w:divBdr>
                                                      <w:divsChild>
                                                        <w:div w:id="1742406633">
                                                          <w:marLeft w:val="0"/>
                                                          <w:marRight w:val="0"/>
                                                          <w:marTop w:val="0"/>
                                                          <w:marBottom w:val="0"/>
                                                          <w:divBdr>
                                                            <w:top w:val="none" w:sz="0" w:space="0" w:color="auto"/>
                                                            <w:left w:val="none" w:sz="0" w:space="0" w:color="auto"/>
                                                            <w:bottom w:val="none" w:sz="0" w:space="0" w:color="auto"/>
                                                            <w:right w:val="none" w:sz="0" w:space="0" w:color="auto"/>
                                                          </w:divBdr>
                                                          <w:divsChild>
                                                            <w:div w:id="724838375">
                                                              <w:marLeft w:val="0"/>
                                                              <w:marRight w:val="0"/>
                                                              <w:marTop w:val="0"/>
                                                              <w:marBottom w:val="0"/>
                                                              <w:divBdr>
                                                                <w:top w:val="none" w:sz="0" w:space="0" w:color="auto"/>
                                                                <w:left w:val="none" w:sz="0" w:space="0" w:color="auto"/>
                                                                <w:bottom w:val="none" w:sz="0" w:space="0" w:color="auto"/>
                                                                <w:right w:val="none" w:sz="0" w:space="0" w:color="auto"/>
                                                              </w:divBdr>
                                                              <w:divsChild>
                                                                <w:div w:id="1663390150">
                                                                  <w:marLeft w:val="0"/>
                                                                  <w:marRight w:val="0"/>
                                                                  <w:marTop w:val="0"/>
                                                                  <w:marBottom w:val="0"/>
                                                                  <w:divBdr>
                                                                    <w:top w:val="none" w:sz="0" w:space="0" w:color="auto"/>
                                                                    <w:left w:val="none" w:sz="0" w:space="0" w:color="auto"/>
                                                                    <w:bottom w:val="none" w:sz="0" w:space="0" w:color="auto"/>
                                                                    <w:right w:val="none" w:sz="0" w:space="0" w:color="auto"/>
                                                                  </w:divBdr>
                                                                  <w:divsChild>
                                                                    <w:div w:id="126289786">
                                                                      <w:marLeft w:val="0"/>
                                                                      <w:marRight w:val="0"/>
                                                                      <w:marTop w:val="0"/>
                                                                      <w:marBottom w:val="0"/>
                                                                      <w:divBdr>
                                                                        <w:top w:val="none" w:sz="0" w:space="0" w:color="auto"/>
                                                                        <w:left w:val="none" w:sz="0" w:space="0" w:color="auto"/>
                                                                        <w:bottom w:val="none" w:sz="0" w:space="0" w:color="auto"/>
                                                                        <w:right w:val="none" w:sz="0" w:space="0" w:color="auto"/>
                                                                      </w:divBdr>
                                                                      <w:divsChild>
                                                                        <w:div w:id="236790059">
                                                                          <w:marLeft w:val="0"/>
                                                                          <w:marRight w:val="0"/>
                                                                          <w:marTop w:val="0"/>
                                                                          <w:marBottom w:val="0"/>
                                                                          <w:divBdr>
                                                                            <w:top w:val="none" w:sz="0" w:space="0" w:color="auto"/>
                                                                            <w:left w:val="none" w:sz="0" w:space="0" w:color="auto"/>
                                                                            <w:bottom w:val="none" w:sz="0" w:space="0" w:color="auto"/>
                                                                            <w:right w:val="none" w:sz="0" w:space="0" w:color="auto"/>
                                                                          </w:divBdr>
                                                                          <w:divsChild>
                                                                            <w:div w:id="2011978869">
                                                                              <w:marLeft w:val="0"/>
                                                                              <w:marRight w:val="0"/>
                                                                              <w:marTop w:val="0"/>
                                                                              <w:marBottom w:val="0"/>
                                                                              <w:divBdr>
                                                                                <w:top w:val="none" w:sz="0" w:space="0" w:color="auto"/>
                                                                                <w:left w:val="none" w:sz="0" w:space="0" w:color="auto"/>
                                                                                <w:bottom w:val="none" w:sz="0" w:space="0" w:color="auto"/>
                                                                                <w:right w:val="none" w:sz="0" w:space="0" w:color="auto"/>
                                                                              </w:divBdr>
                                                                              <w:divsChild>
                                                                                <w:div w:id="694624554">
                                                                                  <w:marLeft w:val="0"/>
                                                                                  <w:marRight w:val="0"/>
                                                                                  <w:marTop w:val="0"/>
                                                                                  <w:marBottom w:val="0"/>
                                                                                  <w:divBdr>
                                                                                    <w:top w:val="none" w:sz="0" w:space="0" w:color="auto"/>
                                                                                    <w:left w:val="none" w:sz="0" w:space="0" w:color="auto"/>
                                                                                    <w:bottom w:val="none" w:sz="0" w:space="0" w:color="auto"/>
                                                                                    <w:right w:val="none" w:sz="0" w:space="0" w:color="auto"/>
                                                                                  </w:divBdr>
                                                                                </w:div>
                                                                                <w:div w:id="1445879744">
                                                                                  <w:marLeft w:val="0"/>
                                                                                  <w:marRight w:val="0"/>
                                                                                  <w:marTop w:val="0"/>
                                                                                  <w:marBottom w:val="0"/>
                                                                                  <w:divBdr>
                                                                                    <w:top w:val="none" w:sz="0" w:space="0" w:color="auto"/>
                                                                                    <w:left w:val="none" w:sz="0" w:space="0" w:color="auto"/>
                                                                                    <w:bottom w:val="none" w:sz="0" w:space="0" w:color="auto"/>
                                                                                    <w:right w:val="none" w:sz="0" w:space="0" w:color="auto"/>
                                                                                  </w:divBdr>
                                                                                </w:div>
                                                                                <w:div w:id="1572277383">
                                                                                  <w:marLeft w:val="0"/>
                                                                                  <w:marRight w:val="0"/>
                                                                                  <w:marTop w:val="0"/>
                                                                                  <w:marBottom w:val="0"/>
                                                                                  <w:divBdr>
                                                                                    <w:top w:val="none" w:sz="0" w:space="0" w:color="auto"/>
                                                                                    <w:left w:val="none" w:sz="0" w:space="0" w:color="auto"/>
                                                                                    <w:bottom w:val="none" w:sz="0" w:space="0" w:color="auto"/>
                                                                                    <w:right w:val="none" w:sz="0" w:space="0" w:color="auto"/>
                                                                                  </w:divBdr>
                                                                                </w:div>
                                                                                <w:div w:id="447431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7848922">
      <w:bodyDiv w:val="1"/>
      <w:marLeft w:val="0"/>
      <w:marRight w:val="0"/>
      <w:marTop w:val="0"/>
      <w:marBottom w:val="0"/>
      <w:divBdr>
        <w:top w:val="none" w:sz="0" w:space="0" w:color="auto"/>
        <w:left w:val="none" w:sz="0" w:space="0" w:color="auto"/>
        <w:bottom w:val="none" w:sz="0" w:space="0" w:color="auto"/>
        <w:right w:val="none" w:sz="0" w:space="0" w:color="auto"/>
      </w:divBdr>
    </w:div>
    <w:div w:id="1369060843">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0690063">
      <w:bodyDiv w:val="1"/>
      <w:marLeft w:val="0"/>
      <w:marRight w:val="0"/>
      <w:marTop w:val="0"/>
      <w:marBottom w:val="0"/>
      <w:divBdr>
        <w:top w:val="none" w:sz="0" w:space="0" w:color="auto"/>
        <w:left w:val="none" w:sz="0" w:space="0" w:color="auto"/>
        <w:bottom w:val="none" w:sz="0" w:space="0" w:color="auto"/>
        <w:right w:val="none" w:sz="0" w:space="0" w:color="auto"/>
      </w:divBdr>
    </w:div>
    <w:div w:id="1392852182">
      <w:bodyDiv w:val="1"/>
      <w:marLeft w:val="0"/>
      <w:marRight w:val="0"/>
      <w:marTop w:val="0"/>
      <w:marBottom w:val="0"/>
      <w:divBdr>
        <w:top w:val="none" w:sz="0" w:space="0" w:color="auto"/>
        <w:left w:val="none" w:sz="0" w:space="0" w:color="auto"/>
        <w:bottom w:val="none" w:sz="0" w:space="0" w:color="auto"/>
        <w:right w:val="none" w:sz="0" w:space="0" w:color="auto"/>
      </w:divBdr>
      <w:divsChild>
        <w:div w:id="1942179754">
          <w:marLeft w:val="1166"/>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822620">
      <w:bodyDiv w:val="1"/>
      <w:marLeft w:val="0"/>
      <w:marRight w:val="0"/>
      <w:marTop w:val="0"/>
      <w:marBottom w:val="0"/>
      <w:divBdr>
        <w:top w:val="none" w:sz="0" w:space="0" w:color="auto"/>
        <w:left w:val="none" w:sz="0" w:space="0" w:color="auto"/>
        <w:bottom w:val="none" w:sz="0" w:space="0" w:color="auto"/>
        <w:right w:val="none" w:sz="0" w:space="0" w:color="auto"/>
      </w:divBdr>
    </w:div>
    <w:div w:id="1449156572">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05583976">
      <w:bodyDiv w:val="1"/>
      <w:marLeft w:val="0"/>
      <w:marRight w:val="0"/>
      <w:marTop w:val="0"/>
      <w:marBottom w:val="0"/>
      <w:divBdr>
        <w:top w:val="none" w:sz="0" w:space="0" w:color="auto"/>
        <w:left w:val="none" w:sz="0" w:space="0" w:color="auto"/>
        <w:bottom w:val="none" w:sz="0" w:space="0" w:color="auto"/>
        <w:right w:val="none" w:sz="0" w:space="0" w:color="auto"/>
      </w:divBdr>
    </w:div>
    <w:div w:id="1515344644">
      <w:bodyDiv w:val="1"/>
      <w:marLeft w:val="0"/>
      <w:marRight w:val="0"/>
      <w:marTop w:val="0"/>
      <w:marBottom w:val="0"/>
      <w:divBdr>
        <w:top w:val="none" w:sz="0" w:space="0" w:color="auto"/>
        <w:left w:val="none" w:sz="0" w:space="0" w:color="auto"/>
        <w:bottom w:val="none" w:sz="0" w:space="0" w:color="auto"/>
        <w:right w:val="none" w:sz="0" w:space="0" w:color="auto"/>
      </w:divBdr>
    </w:div>
    <w:div w:id="155916745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17637348">
      <w:bodyDiv w:val="1"/>
      <w:marLeft w:val="0"/>
      <w:marRight w:val="0"/>
      <w:marTop w:val="0"/>
      <w:marBottom w:val="0"/>
      <w:divBdr>
        <w:top w:val="none" w:sz="0" w:space="0" w:color="auto"/>
        <w:left w:val="none" w:sz="0" w:space="0" w:color="auto"/>
        <w:bottom w:val="none" w:sz="0" w:space="0" w:color="auto"/>
        <w:right w:val="none" w:sz="0" w:space="0" w:color="auto"/>
      </w:divBdr>
    </w:div>
    <w:div w:id="1643927943">
      <w:bodyDiv w:val="1"/>
      <w:marLeft w:val="0"/>
      <w:marRight w:val="0"/>
      <w:marTop w:val="0"/>
      <w:marBottom w:val="0"/>
      <w:divBdr>
        <w:top w:val="none" w:sz="0" w:space="0" w:color="auto"/>
        <w:left w:val="none" w:sz="0" w:space="0" w:color="auto"/>
        <w:bottom w:val="none" w:sz="0" w:space="0" w:color="auto"/>
        <w:right w:val="none" w:sz="0" w:space="0" w:color="auto"/>
      </w:divBdr>
      <w:divsChild>
        <w:div w:id="613101811">
          <w:marLeft w:val="0"/>
          <w:marRight w:val="0"/>
          <w:marTop w:val="0"/>
          <w:marBottom w:val="0"/>
          <w:divBdr>
            <w:top w:val="none" w:sz="0" w:space="0" w:color="auto"/>
            <w:left w:val="none" w:sz="0" w:space="0" w:color="auto"/>
            <w:bottom w:val="none" w:sz="0" w:space="0" w:color="auto"/>
            <w:right w:val="none" w:sz="0" w:space="0" w:color="auto"/>
          </w:divBdr>
          <w:divsChild>
            <w:div w:id="1726179143">
              <w:marLeft w:val="0"/>
              <w:marRight w:val="0"/>
              <w:marTop w:val="0"/>
              <w:marBottom w:val="0"/>
              <w:divBdr>
                <w:top w:val="none" w:sz="0" w:space="0" w:color="auto"/>
                <w:left w:val="none" w:sz="0" w:space="0" w:color="auto"/>
                <w:bottom w:val="none" w:sz="0" w:space="0" w:color="auto"/>
                <w:right w:val="none" w:sz="0" w:space="0" w:color="auto"/>
              </w:divBdr>
              <w:divsChild>
                <w:div w:id="1978752780">
                  <w:marLeft w:val="0"/>
                  <w:marRight w:val="0"/>
                  <w:marTop w:val="0"/>
                  <w:marBottom w:val="0"/>
                  <w:divBdr>
                    <w:top w:val="none" w:sz="0" w:space="0" w:color="auto"/>
                    <w:left w:val="none" w:sz="0" w:space="0" w:color="auto"/>
                    <w:bottom w:val="none" w:sz="0" w:space="0" w:color="auto"/>
                    <w:right w:val="none" w:sz="0" w:space="0" w:color="auto"/>
                  </w:divBdr>
                  <w:divsChild>
                    <w:div w:id="936711396">
                      <w:marLeft w:val="0"/>
                      <w:marRight w:val="0"/>
                      <w:marTop w:val="0"/>
                      <w:marBottom w:val="0"/>
                      <w:divBdr>
                        <w:top w:val="none" w:sz="0" w:space="0" w:color="auto"/>
                        <w:left w:val="none" w:sz="0" w:space="0" w:color="auto"/>
                        <w:bottom w:val="none" w:sz="0" w:space="0" w:color="auto"/>
                        <w:right w:val="none" w:sz="0" w:space="0" w:color="auto"/>
                      </w:divBdr>
                      <w:divsChild>
                        <w:div w:id="1769152289">
                          <w:marLeft w:val="0"/>
                          <w:marRight w:val="0"/>
                          <w:marTop w:val="0"/>
                          <w:marBottom w:val="0"/>
                          <w:divBdr>
                            <w:top w:val="none" w:sz="0" w:space="0" w:color="auto"/>
                            <w:left w:val="none" w:sz="0" w:space="0" w:color="auto"/>
                            <w:bottom w:val="none" w:sz="0" w:space="0" w:color="auto"/>
                            <w:right w:val="none" w:sz="0" w:space="0" w:color="auto"/>
                          </w:divBdr>
                          <w:divsChild>
                            <w:div w:id="761604458">
                              <w:marLeft w:val="0"/>
                              <w:marRight w:val="0"/>
                              <w:marTop w:val="0"/>
                              <w:marBottom w:val="0"/>
                              <w:divBdr>
                                <w:top w:val="none" w:sz="0" w:space="0" w:color="auto"/>
                                <w:left w:val="none" w:sz="0" w:space="0" w:color="auto"/>
                                <w:bottom w:val="none" w:sz="0" w:space="0" w:color="auto"/>
                                <w:right w:val="none" w:sz="0" w:space="0" w:color="auto"/>
                              </w:divBdr>
                              <w:divsChild>
                                <w:div w:id="448204742">
                                  <w:marLeft w:val="0"/>
                                  <w:marRight w:val="0"/>
                                  <w:marTop w:val="0"/>
                                  <w:marBottom w:val="0"/>
                                  <w:divBdr>
                                    <w:top w:val="none" w:sz="0" w:space="0" w:color="auto"/>
                                    <w:left w:val="none" w:sz="0" w:space="0" w:color="auto"/>
                                    <w:bottom w:val="none" w:sz="0" w:space="0" w:color="auto"/>
                                    <w:right w:val="none" w:sz="0" w:space="0" w:color="auto"/>
                                  </w:divBdr>
                                  <w:divsChild>
                                    <w:div w:id="860046088">
                                      <w:marLeft w:val="0"/>
                                      <w:marRight w:val="0"/>
                                      <w:marTop w:val="0"/>
                                      <w:marBottom w:val="0"/>
                                      <w:divBdr>
                                        <w:top w:val="none" w:sz="0" w:space="0" w:color="auto"/>
                                        <w:left w:val="none" w:sz="0" w:space="0" w:color="auto"/>
                                        <w:bottom w:val="none" w:sz="0" w:space="0" w:color="auto"/>
                                        <w:right w:val="none" w:sz="0" w:space="0" w:color="auto"/>
                                      </w:divBdr>
                                      <w:divsChild>
                                        <w:div w:id="1605918661">
                                          <w:marLeft w:val="0"/>
                                          <w:marRight w:val="0"/>
                                          <w:marTop w:val="0"/>
                                          <w:marBottom w:val="0"/>
                                          <w:divBdr>
                                            <w:top w:val="none" w:sz="0" w:space="0" w:color="auto"/>
                                            <w:left w:val="none" w:sz="0" w:space="0" w:color="auto"/>
                                            <w:bottom w:val="none" w:sz="0" w:space="0" w:color="auto"/>
                                            <w:right w:val="none" w:sz="0" w:space="0" w:color="auto"/>
                                          </w:divBdr>
                                          <w:divsChild>
                                            <w:div w:id="1197892797">
                                              <w:marLeft w:val="0"/>
                                              <w:marRight w:val="0"/>
                                              <w:marTop w:val="0"/>
                                              <w:marBottom w:val="0"/>
                                              <w:divBdr>
                                                <w:top w:val="none" w:sz="0" w:space="0" w:color="auto"/>
                                                <w:left w:val="none" w:sz="0" w:space="0" w:color="auto"/>
                                                <w:bottom w:val="none" w:sz="0" w:space="0" w:color="auto"/>
                                                <w:right w:val="none" w:sz="0" w:space="0" w:color="auto"/>
                                              </w:divBdr>
                                              <w:divsChild>
                                                <w:div w:id="576868426">
                                                  <w:marLeft w:val="0"/>
                                                  <w:marRight w:val="0"/>
                                                  <w:marTop w:val="0"/>
                                                  <w:marBottom w:val="0"/>
                                                  <w:divBdr>
                                                    <w:top w:val="none" w:sz="0" w:space="0" w:color="auto"/>
                                                    <w:left w:val="none" w:sz="0" w:space="0" w:color="auto"/>
                                                    <w:bottom w:val="none" w:sz="0" w:space="0" w:color="auto"/>
                                                    <w:right w:val="none" w:sz="0" w:space="0" w:color="auto"/>
                                                  </w:divBdr>
                                                  <w:divsChild>
                                                    <w:div w:id="1076781507">
                                                      <w:marLeft w:val="0"/>
                                                      <w:marRight w:val="0"/>
                                                      <w:marTop w:val="0"/>
                                                      <w:marBottom w:val="0"/>
                                                      <w:divBdr>
                                                        <w:top w:val="single" w:sz="6" w:space="0" w:color="ABABAB"/>
                                                        <w:left w:val="single" w:sz="6" w:space="0" w:color="ABABAB"/>
                                                        <w:bottom w:val="none" w:sz="0" w:space="0" w:color="auto"/>
                                                        <w:right w:val="single" w:sz="6" w:space="0" w:color="ABABAB"/>
                                                      </w:divBdr>
                                                      <w:divsChild>
                                                        <w:div w:id="528376554">
                                                          <w:marLeft w:val="0"/>
                                                          <w:marRight w:val="0"/>
                                                          <w:marTop w:val="0"/>
                                                          <w:marBottom w:val="0"/>
                                                          <w:divBdr>
                                                            <w:top w:val="none" w:sz="0" w:space="0" w:color="auto"/>
                                                            <w:left w:val="none" w:sz="0" w:space="0" w:color="auto"/>
                                                            <w:bottom w:val="none" w:sz="0" w:space="0" w:color="auto"/>
                                                            <w:right w:val="none" w:sz="0" w:space="0" w:color="auto"/>
                                                          </w:divBdr>
                                                          <w:divsChild>
                                                            <w:div w:id="1908763099">
                                                              <w:marLeft w:val="0"/>
                                                              <w:marRight w:val="0"/>
                                                              <w:marTop w:val="0"/>
                                                              <w:marBottom w:val="0"/>
                                                              <w:divBdr>
                                                                <w:top w:val="none" w:sz="0" w:space="0" w:color="auto"/>
                                                                <w:left w:val="none" w:sz="0" w:space="0" w:color="auto"/>
                                                                <w:bottom w:val="none" w:sz="0" w:space="0" w:color="auto"/>
                                                                <w:right w:val="none" w:sz="0" w:space="0" w:color="auto"/>
                                                              </w:divBdr>
                                                              <w:divsChild>
                                                                <w:div w:id="505096208">
                                                                  <w:marLeft w:val="0"/>
                                                                  <w:marRight w:val="0"/>
                                                                  <w:marTop w:val="0"/>
                                                                  <w:marBottom w:val="0"/>
                                                                  <w:divBdr>
                                                                    <w:top w:val="none" w:sz="0" w:space="0" w:color="auto"/>
                                                                    <w:left w:val="none" w:sz="0" w:space="0" w:color="auto"/>
                                                                    <w:bottom w:val="none" w:sz="0" w:space="0" w:color="auto"/>
                                                                    <w:right w:val="none" w:sz="0" w:space="0" w:color="auto"/>
                                                                  </w:divBdr>
                                                                  <w:divsChild>
                                                                    <w:div w:id="610019495">
                                                                      <w:marLeft w:val="0"/>
                                                                      <w:marRight w:val="0"/>
                                                                      <w:marTop w:val="0"/>
                                                                      <w:marBottom w:val="0"/>
                                                                      <w:divBdr>
                                                                        <w:top w:val="none" w:sz="0" w:space="0" w:color="auto"/>
                                                                        <w:left w:val="none" w:sz="0" w:space="0" w:color="auto"/>
                                                                        <w:bottom w:val="none" w:sz="0" w:space="0" w:color="auto"/>
                                                                        <w:right w:val="none" w:sz="0" w:space="0" w:color="auto"/>
                                                                      </w:divBdr>
                                                                      <w:divsChild>
                                                                        <w:div w:id="1712807850">
                                                                          <w:marLeft w:val="0"/>
                                                                          <w:marRight w:val="0"/>
                                                                          <w:marTop w:val="0"/>
                                                                          <w:marBottom w:val="0"/>
                                                                          <w:divBdr>
                                                                            <w:top w:val="none" w:sz="0" w:space="0" w:color="auto"/>
                                                                            <w:left w:val="none" w:sz="0" w:space="0" w:color="auto"/>
                                                                            <w:bottom w:val="none" w:sz="0" w:space="0" w:color="auto"/>
                                                                            <w:right w:val="none" w:sz="0" w:space="0" w:color="auto"/>
                                                                          </w:divBdr>
                                                                          <w:divsChild>
                                                                            <w:div w:id="683897803">
                                                                              <w:marLeft w:val="0"/>
                                                                              <w:marRight w:val="0"/>
                                                                              <w:marTop w:val="0"/>
                                                                              <w:marBottom w:val="0"/>
                                                                              <w:divBdr>
                                                                                <w:top w:val="none" w:sz="0" w:space="0" w:color="auto"/>
                                                                                <w:left w:val="none" w:sz="0" w:space="0" w:color="auto"/>
                                                                                <w:bottom w:val="none" w:sz="0" w:space="0" w:color="auto"/>
                                                                                <w:right w:val="none" w:sz="0" w:space="0" w:color="auto"/>
                                                                              </w:divBdr>
                                                                              <w:divsChild>
                                                                                <w:div w:id="1552960341">
                                                                                  <w:marLeft w:val="0"/>
                                                                                  <w:marRight w:val="0"/>
                                                                                  <w:marTop w:val="0"/>
                                                                                  <w:marBottom w:val="0"/>
                                                                                  <w:divBdr>
                                                                                    <w:top w:val="none" w:sz="0" w:space="0" w:color="auto"/>
                                                                                    <w:left w:val="none" w:sz="0" w:space="0" w:color="auto"/>
                                                                                    <w:bottom w:val="none" w:sz="0" w:space="0" w:color="auto"/>
                                                                                    <w:right w:val="none" w:sz="0" w:space="0" w:color="auto"/>
                                                                                  </w:divBdr>
                                                                                  <w:divsChild>
                                                                                    <w:div w:id="1311907290">
                                                                                      <w:marLeft w:val="0"/>
                                                                                      <w:marRight w:val="0"/>
                                                                                      <w:marTop w:val="0"/>
                                                                                      <w:marBottom w:val="0"/>
                                                                                      <w:divBdr>
                                                                                        <w:top w:val="none" w:sz="0" w:space="0" w:color="auto"/>
                                                                                        <w:left w:val="none" w:sz="0" w:space="0" w:color="auto"/>
                                                                                        <w:bottom w:val="none" w:sz="0" w:space="0" w:color="auto"/>
                                                                                        <w:right w:val="none" w:sz="0" w:space="0" w:color="auto"/>
                                                                                      </w:divBdr>
                                                                                    </w:div>
                                                                                  </w:divsChild>
                                                                                </w:div>
                                                                                <w:div w:id="1134179496">
                                                                                  <w:marLeft w:val="0"/>
                                                                                  <w:marRight w:val="0"/>
                                                                                  <w:marTop w:val="0"/>
                                                                                  <w:marBottom w:val="0"/>
                                                                                  <w:divBdr>
                                                                                    <w:top w:val="none" w:sz="0" w:space="0" w:color="auto"/>
                                                                                    <w:left w:val="none" w:sz="0" w:space="0" w:color="auto"/>
                                                                                    <w:bottom w:val="none" w:sz="0" w:space="0" w:color="auto"/>
                                                                                    <w:right w:val="none" w:sz="0" w:space="0" w:color="auto"/>
                                                                                  </w:divBdr>
                                                                                  <w:divsChild>
                                                                                    <w:div w:id="544290880">
                                                                                      <w:marLeft w:val="0"/>
                                                                                      <w:marRight w:val="0"/>
                                                                                      <w:marTop w:val="0"/>
                                                                                      <w:marBottom w:val="0"/>
                                                                                      <w:divBdr>
                                                                                        <w:top w:val="none" w:sz="0" w:space="0" w:color="auto"/>
                                                                                        <w:left w:val="none" w:sz="0" w:space="0" w:color="auto"/>
                                                                                        <w:bottom w:val="none" w:sz="0" w:space="0" w:color="auto"/>
                                                                                        <w:right w:val="none" w:sz="0" w:space="0" w:color="auto"/>
                                                                                      </w:divBdr>
                                                                                    </w:div>
                                                                                    <w:div w:id="2136755333">
                                                                                      <w:marLeft w:val="0"/>
                                                                                      <w:marRight w:val="0"/>
                                                                                      <w:marTop w:val="0"/>
                                                                                      <w:marBottom w:val="0"/>
                                                                                      <w:divBdr>
                                                                                        <w:top w:val="none" w:sz="0" w:space="0" w:color="auto"/>
                                                                                        <w:left w:val="none" w:sz="0" w:space="0" w:color="auto"/>
                                                                                        <w:bottom w:val="none" w:sz="0" w:space="0" w:color="auto"/>
                                                                                        <w:right w:val="none" w:sz="0" w:space="0" w:color="auto"/>
                                                                                      </w:divBdr>
                                                                                    </w:div>
                                                                                    <w:div w:id="558831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401352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087715">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43209642">
      <w:bodyDiv w:val="1"/>
      <w:marLeft w:val="0"/>
      <w:marRight w:val="0"/>
      <w:marTop w:val="0"/>
      <w:marBottom w:val="0"/>
      <w:divBdr>
        <w:top w:val="none" w:sz="0" w:space="0" w:color="auto"/>
        <w:left w:val="none" w:sz="0" w:space="0" w:color="auto"/>
        <w:bottom w:val="none" w:sz="0" w:space="0" w:color="auto"/>
        <w:right w:val="none" w:sz="0" w:space="0" w:color="auto"/>
      </w:divBdr>
      <w:divsChild>
        <w:div w:id="820078057">
          <w:marLeft w:val="1022"/>
          <w:marRight w:val="0"/>
          <w:marTop w:val="0"/>
          <w:marBottom w:val="160"/>
          <w:divBdr>
            <w:top w:val="none" w:sz="0" w:space="0" w:color="auto"/>
            <w:left w:val="none" w:sz="0" w:space="0" w:color="auto"/>
            <w:bottom w:val="none" w:sz="0" w:space="0" w:color="auto"/>
            <w:right w:val="none" w:sz="0" w:space="0" w:color="auto"/>
          </w:divBdr>
        </w:div>
        <w:div w:id="1819033788">
          <w:marLeft w:val="1022"/>
          <w:marRight w:val="0"/>
          <w:marTop w:val="0"/>
          <w:marBottom w:val="160"/>
          <w:divBdr>
            <w:top w:val="none" w:sz="0" w:space="0" w:color="auto"/>
            <w:left w:val="none" w:sz="0" w:space="0" w:color="auto"/>
            <w:bottom w:val="none" w:sz="0" w:space="0" w:color="auto"/>
            <w:right w:val="none" w:sz="0" w:space="0" w:color="auto"/>
          </w:divBdr>
        </w:div>
        <w:div w:id="1368607418">
          <w:marLeft w:val="1022"/>
          <w:marRight w:val="0"/>
          <w:marTop w:val="0"/>
          <w:marBottom w:val="160"/>
          <w:divBdr>
            <w:top w:val="none" w:sz="0" w:space="0" w:color="auto"/>
            <w:left w:val="none" w:sz="0" w:space="0" w:color="auto"/>
            <w:bottom w:val="none" w:sz="0" w:space="0" w:color="auto"/>
            <w:right w:val="none" w:sz="0" w:space="0" w:color="auto"/>
          </w:divBdr>
        </w:div>
      </w:divsChild>
    </w:div>
    <w:div w:id="1744521473">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1500148">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4525741">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8240642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318220">
      <w:bodyDiv w:val="1"/>
      <w:marLeft w:val="0"/>
      <w:marRight w:val="0"/>
      <w:marTop w:val="0"/>
      <w:marBottom w:val="0"/>
      <w:divBdr>
        <w:top w:val="none" w:sz="0" w:space="0" w:color="auto"/>
        <w:left w:val="none" w:sz="0" w:space="0" w:color="auto"/>
        <w:bottom w:val="none" w:sz="0" w:space="0" w:color="auto"/>
        <w:right w:val="none" w:sz="0" w:space="0" w:color="auto"/>
      </w:divBdr>
    </w:div>
    <w:div w:id="2132283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5AIRPNAIUNRU-1830940522-3748</_dlc_DocId>
    <_dlc_DocIdUrl xmlns="71c5aaf6-e6ce-465b-b873-5148d2a4c105">
      <Url>https://nokia.sharepoint.com/sites/c5g/5gradio/_layouts/15/DocIdRedir.aspx?ID=5AIRPNAIUNRU-1830940522-3748</Url>
      <Description>5AIRPNAIUNRU-1830940522-3748</Description>
    </_dlc_DocIdUrl>
    <HideFromDelve xmlns="71c5aaf6-e6ce-465b-b873-5148d2a4c105">false</HideFromDelv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75AE46C1-5939-424B-9C3C-66BF1C4F6A82}">
  <ds:schemaRefs>
    <ds:schemaRef ds:uri="71c5aaf6-e6ce-465b-b873-5148d2a4c105"/>
    <ds:schemaRef ds:uri="http://purl.org/dc/dcmitype/"/>
    <ds:schemaRef ds:uri="http://schemas.openxmlformats.org/package/2006/metadata/core-properties"/>
    <ds:schemaRef ds:uri="http://schemas.microsoft.com/office/infopath/2007/PartnerControls"/>
    <ds:schemaRef ds:uri="ebabf6ce-2443-438c-9946-ecc878e7654a"/>
    <ds:schemaRef ds:uri="http://purl.org/dc/elements/1.1/"/>
    <ds:schemaRef ds:uri="http://schemas.microsoft.com/office/2006/documentManagement/types"/>
    <ds:schemaRef ds:uri="95d2e41d-1f11-4347-bb1c-11d6a32975dd"/>
    <ds:schemaRef ds:uri="http://www.w3.org/XML/1998/namespace"/>
    <ds:schemaRef ds:uri="3b34c8f0-1ef5-4d1e-bb66-517ce7fe7356"/>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FB44DFC4-A9E7-4D79-AE4B-50C7FD91F0A6}">
  <ds:schemaRefs>
    <ds:schemaRef ds:uri="Microsoft.SharePoint.Taxonomy.ContentTypeSync"/>
  </ds:schemaRefs>
</ds:datastoreItem>
</file>

<file path=customXml/itemProps4.xml><?xml version="1.0" encoding="utf-8"?>
<ds:datastoreItem xmlns:ds="http://schemas.openxmlformats.org/officeDocument/2006/customXml" ds:itemID="{60695C11-DCBB-435A-8A7B-C8048BC5D7C9}">
  <ds:schemaRefs>
    <ds:schemaRef ds:uri="http://schemas.microsoft.com/sharepoint/events"/>
  </ds:schemaRefs>
</ds:datastoreItem>
</file>

<file path=customXml/itemProps5.xml><?xml version="1.0" encoding="utf-8"?>
<ds:datastoreItem xmlns:ds="http://schemas.openxmlformats.org/officeDocument/2006/customXml" ds:itemID="{A0B9F8B2-2B7C-408B-BC0E-12EF9A7831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5DFD764-5DC0-47C2-8062-92F1C7D7D9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7</Pages>
  <Words>3229</Words>
  <Characters>18408</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21594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Jayasinghe, Keeth (Nokia - FI/Espoo)</cp:lastModifiedBy>
  <cp:revision>2</cp:revision>
  <cp:lastPrinted>2016-06-20T11:35:00Z</cp:lastPrinted>
  <dcterms:created xsi:type="dcterms:W3CDTF">2018-08-10T12:39:00Z</dcterms:created>
  <dcterms:modified xsi:type="dcterms:W3CDTF">2018-08-10T12:39:00Z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9e198a81-de08-44fa-aaf4-baf2e42483c2</vt:lpwstr>
  </property>
  <property fmtid="{D5CDD505-2E9C-101B-9397-08002B2CF9AE}" pid="8" name="MSIP_Label_46cc7c65-2b09-40ab-abef-d10548338a3b_Enabled">
    <vt:lpwstr>False</vt:lpwstr>
  </property>
  <property fmtid="{D5CDD505-2E9C-101B-9397-08002B2CF9AE}" pid="9" name="MSIP_Label_46cc7c65-2b09-40ab-abef-d10548338a3b_SiteId">
    <vt:lpwstr>5d471751-9675-428d-917b-70f44f9630b0</vt:lpwstr>
  </property>
  <property fmtid="{D5CDD505-2E9C-101B-9397-08002B2CF9AE}" pid="10" name="MSIP_Label_46cc7c65-2b09-40ab-abef-d10548338a3b_Owner">
    <vt:lpwstr>esa.tiirola@nokia-bell-labs.com</vt:lpwstr>
  </property>
  <property fmtid="{D5CDD505-2E9C-101B-9397-08002B2CF9AE}" pid="11" name="MSIP_Label_46cc7c65-2b09-40ab-abef-d10548338a3b_SetDate">
    <vt:lpwstr>2018-03-21T14:53:32.4813624+02:00</vt:lpwstr>
  </property>
  <property fmtid="{D5CDD505-2E9C-101B-9397-08002B2CF9AE}" pid="12" name="MSIP_Label_46cc7c65-2b09-40ab-abef-d10548338a3b_Name">
    <vt:lpwstr>Nokia internal use</vt:lpwstr>
  </property>
  <property fmtid="{D5CDD505-2E9C-101B-9397-08002B2CF9AE}" pid="13" name="MSIP_Label_46cc7c65-2b09-40ab-abef-d10548338a3b_Application">
    <vt:lpwstr>Microsoft Azure Information Protection</vt:lpwstr>
  </property>
  <property fmtid="{D5CDD505-2E9C-101B-9397-08002B2CF9AE}" pid="14" name="MSIP_Label_46cc7c65-2b09-40ab-abef-d10548338a3b_Extended_MSFT_Method">
    <vt:lpwstr>Manual</vt:lpwstr>
  </property>
  <property fmtid="{D5CDD505-2E9C-101B-9397-08002B2CF9AE}" pid="15" name="Sensitivity">
    <vt:lpwstr/>
  </property>
</Properties>
</file>